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宋体"/>
          <w:sz w:val="36"/>
          <w:szCs w:val="36"/>
        </w:rPr>
      </w:pPr>
    </w:p>
    <w:p>
      <w:pPr>
        <w:jc w:val="center"/>
        <w:rPr>
          <w:rFonts w:hAnsi="宋体"/>
          <w:b/>
          <w:sz w:val="48"/>
          <w:szCs w:val="48"/>
        </w:rPr>
      </w:pPr>
      <w:r>
        <w:rPr>
          <w:rFonts w:hint="eastAsia" w:hAnsi="宋体"/>
          <w:b/>
          <w:sz w:val="48"/>
          <w:szCs w:val="48"/>
        </w:rPr>
        <w:t>华能重庆两江燃机发电有限责任公司</w:t>
      </w:r>
    </w:p>
    <w:p>
      <w:pPr>
        <w:spacing w:line="360" w:lineRule="auto"/>
        <w:jc w:val="center"/>
        <w:rPr>
          <w:rFonts w:ascii="宋体"/>
          <w:sz w:val="36"/>
          <w:szCs w:val="36"/>
        </w:rPr>
      </w:pPr>
    </w:p>
    <w:p>
      <w:pPr>
        <w:spacing w:line="360" w:lineRule="auto"/>
        <w:rPr>
          <w:rFonts w:ascii="宋体"/>
          <w:sz w:val="36"/>
          <w:szCs w:val="36"/>
        </w:rPr>
      </w:pPr>
    </w:p>
    <w:p>
      <w:pPr>
        <w:jc w:val="center"/>
        <w:rPr>
          <w:rFonts w:hAnsi="宋体"/>
          <w:b/>
          <w:sz w:val="48"/>
          <w:szCs w:val="48"/>
        </w:rPr>
      </w:pPr>
      <w:r>
        <w:rPr>
          <w:rFonts w:hint="eastAsia" w:hAnsi="宋体"/>
          <w:b/>
          <w:sz w:val="48"/>
          <w:szCs w:val="48"/>
        </w:rPr>
        <w:t>#1余热锅炉侧主蒸汽电动闸阀</w:t>
      </w:r>
      <w:r>
        <w:rPr>
          <w:rFonts w:hint="eastAsia" w:hAnsi="宋体"/>
          <w:b/>
          <w:sz w:val="48"/>
          <w:szCs w:val="48"/>
          <w:lang w:val="en-US" w:eastAsia="zh-CN"/>
        </w:rPr>
        <w:t>加装旁路装置改造</w:t>
      </w:r>
      <w:r>
        <w:rPr>
          <w:rFonts w:hint="eastAsia" w:hAnsi="宋体"/>
          <w:b/>
          <w:sz w:val="48"/>
          <w:szCs w:val="48"/>
        </w:rPr>
        <w:t>技术规范书</w:t>
      </w:r>
    </w:p>
    <w:p>
      <w:pPr>
        <w:pStyle w:val="28"/>
        <w:rPr>
          <w:rFonts w:eastAsia="仿宋_GB2312"/>
          <w:b/>
          <w:sz w:val="48"/>
          <w:szCs w:val="48"/>
        </w:rPr>
      </w:pPr>
    </w:p>
    <w:p>
      <w:pPr>
        <w:pStyle w:val="28"/>
        <w:rPr>
          <w:rFonts w:eastAsia="仿宋_GB2312"/>
          <w:b/>
          <w:sz w:val="32"/>
          <w:szCs w:val="32"/>
        </w:rPr>
      </w:pPr>
    </w:p>
    <w:p>
      <w:pPr>
        <w:rPr>
          <w:rFonts w:ascii="宋体" w:hAnsi="宋体"/>
          <w:b/>
          <w:bCs/>
          <w:color w:val="000000"/>
          <w:sz w:val="28"/>
          <w:szCs w:val="28"/>
        </w:rPr>
      </w:pPr>
    </w:p>
    <w:p>
      <w:pPr>
        <w:ind w:firstLine="1658" w:firstLineChars="590"/>
        <w:rPr>
          <w:rFonts w:ascii="宋体" w:hAnsi="宋体"/>
          <w:b/>
          <w:bCs/>
          <w:color w:val="000000"/>
          <w:sz w:val="28"/>
          <w:szCs w:val="28"/>
        </w:rPr>
      </w:pPr>
    </w:p>
    <w:p>
      <w:pPr>
        <w:pStyle w:val="28"/>
        <w:rPr>
          <w:rFonts w:eastAsia="仿宋_GB2312"/>
          <w:b/>
          <w:sz w:val="32"/>
          <w:szCs w:val="32"/>
        </w:rPr>
      </w:pPr>
    </w:p>
    <w:p>
      <w:pPr>
        <w:pStyle w:val="28"/>
        <w:rPr>
          <w:rFonts w:eastAsia="仿宋_GB2312"/>
          <w:b/>
          <w:sz w:val="32"/>
          <w:szCs w:val="32"/>
        </w:rPr>
      </w:pPr>
    </w:p>
    <w:tbl>
      <w:tblPr>
        <w:tblStyle w:val="16"/>
        <w:tblW w:w="566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4"/>
        <w:gridCol w:w="364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  <w:jc w:val="center"/>
        </w:trPr>
        <w:tc>
          <w:tcPr>
            <w:tcW w:w="2014" w:type="dxa"/>
            <w:vAlign w:val="center"/>
          </w:tcPr>
          <w:p>
            <w:pPr>
              <w:spacing w:line="0" w:lineRule="atLeast"/>
              <w:ind w:right="-119"/>
              <w:jc w:val="center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批   准：</w:t>
            </w:r>
          </w:p>
        </w:tc>
        <w:tc>
          <w:tcPr>
            <w:tcW w:w="3646" w:type="dxa"/>
            <w:tcBorders>
              <w:bottom w:val="single" w:color="auto" w:sz="4" w:space="0"/>
            </w:tcBorders>
            <w:vAlign w:val="bottom"/>
          </w:tcPr>
          <w:p>
            <w:pPr>
              <w:rPr>
                <w:bCs/>
                <w:kern w:val="10"/>
                <w:position w:val="-5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2014" w:type="dxa"/>
            <w:vAlign w:val="center"/>
          </w:tcPr>
          <w:p>
            <w:pPr>
              <w:spacing w:line="0" w:lineRule="atLeast"/>
              <w:ind w:right="-119"/>
              <w:jc w:val="center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审   核：</w:t>
            </w:r>
          </w:p>
        </w:tc>
        <w:tc>
          <w:tcPr>
            <w:tcW w:w="3646" w:type="dxa"/>
            <w:tcBorders>
              <w:bottom w:val="single" w:color="auto" w:sz="4" w:space="0"/>
            </w:tcBorders>
            <w:vAlign w:val="bottom"/>
          </w:tcPr>
          <w:p>
            <w:pPr>
              <w:rPr>
                <w:bCs/>
                <w:kern w:val="10"/>
                <w:position w:val="-5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2014" w:type="dxa"/>
            <w:vAlign w:val="center"/>
          </w:tcPr>
          <w:p>
            <w:pPr>
              <w:spacing w:line="0" w:lineRule="atLeast"/>
              <w:ind w:right="-119"/>
              <w:jc w:val="center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会   签：</w:t>
            </w:r>
          </w:p>
        </w:tc>
        <w:tc>
          <w:tcPr>
            <w:tcW w:w="3646" w:type="dxa"/>
            <w:tcBorders>
              <w:bottom w:val="single" w:color="auto" w:sz="4" w:space="0"/>
            </w:tcBorders>
            <w:vAlign w:val="bottom"/>
          </w:tcPr>
          <w:p>
            <w:pPr>
              <w:rPr>
                <w:bCs/>
                <w:kern w:val="10"/>
                <w:position w:val="-5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2014" w:type="dxa"/>
            <w:vAlign w:val="center"/>
          </w:tcPr>
          <w:p>
            <w:pPr>
              <w:spacing w:line="0" w:lineRule="atLeast"/>
              <w:ind w:right="-119"/>
              <w:jc w:val="center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编   制：</w:t>
            </w:r>
          </w:p>
        </w:tc>
        <w:tc>
          <w:tcPr>
            <w:tcW w:w="3646" w:type="dxa"/>
            <w:tcBorders>
              <w:bottom w:val="single" w:color="auto" w:sz="4" w:space="0"/>
            </w:tcBorders>
            <w:vAlign w:val="bottom"/>
          </w:tcPr>
          <w:p>
            <w:pPr>
              <w:rPr>
                <w:bCs/>
                <w:kern w:val="10"/>
                <w:position w:val="-50"/>
                <w:sz w:val="28"/>
                <w:szCs w:val="28"/>
              </w:rPr>
            </w:pPr>
          </w:p>
        </w:tc>
      </w:tr>
    </w:tbl>
    <w:p>
      <w:pPr>
        <w:pStyle w:val="28"/>
        <w:rPr>
          <w:rFonts w:eastAsia="仿宋_GB2312"/>
          <w:b/>
          <w:sz w:val="32"/>
          <w:szCs w:val="32"/>
        </w:rPr>
      </w:pPr>
    </w:p>
    <w:p>
      <w:pPr>
        <w:rPr>
          <w:sz w:val="30"/>
          <w:u w:val="single"/>
        </w:rPr>
      </w:pPr>
    </w:p>
    <w:p>
      <w:pPr>
        <w:jc w:val="center"/>
        <w:rPr>
          <w:sz w:val="30"/>
        </w:rPr>
      </w:pPr>
    </w:p>
    <w:p>
      <w:pPr>
        <w:jc w:val="center"/>
        <w:rPr>
          <w:rFonts w:ascii="华文细黑" w:hAnsi="华文细黑" w:eastAsia="华文细黑"/>
          <w:b/>
          <w:color w:val="000000"/>
          <w:sz w:val="40"/>
        </w:rPr>
      </w:pPr>
      <w:r>
        <w:rPr>
          <w:rFonts w:hint="eastAsia"/>
          <w:sz w:val="30"/>
        </w:rPr>
        <w:t>2023年1月</w:t>
      </w:r>
    </w:p>
    <w:p>
      <w:pPr>
        <w:widowControl/>
        <w:jc w:val="left"/>
        <w:rPr>
          <w:sz w:val="30"/>
        </w:rPr>
      </w:pPr>
      <w:r>
        <w:rPr>
          <w:sz w:val="30"/>
        </w:rPr>
        <w:br w:type="page"/>
      </w:r>
    </w:p>
    <w:p>
      <w:pPr>
        <w:spacing w:line="360" w:lineRule="auto"/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目  录</w:t>
      </w:r>
    </w:p>
    <w:p>
      <w:pPr>
        <w:spacing w:line="360" w:lineRule="auto"/>
        <w:jc w:val="center"/>
        <w:rPr>
          <w:sz w:val="30"/>
        </w:rPr>
      </w:pPr>
    </w:p>
    <w:p>
      <w:pPr>
        <w:pStyle w:val="12"/>
        <w:tabs>
          <w:tab w:val="right" w:leader="dot" w:pos="8312"/>
        </w:tabs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fldChar w:fldCharType="begin"/>
      </w:r>
      <w:r>
        <w:rPr>
          <w:rFonts w:hint="eastAsia" w:asciiTheme="minorEastAsia" w:hAnsiTheme="minorEastAsia" w:cstheme="minorEastAsia"/>
          <w:sz w:val="24"/>
          <w:szCs w:val="24"/>
        </w:rPr>
        <w:instrText xml:space="preserve"> TOC \o "1-3" \h \z \u </w:instrText>
      </w:r>
      <w:r>
        <w:rPr>
          <w:rFonts w:hint="eastAsia" w:asciiTheme="minorEastAsia" w:hAnsiTheme="minorEastAsia" w:cstheme="minorEastAsia"/>
          <w:sz w:val="24"/>
          <w:szCs w:val="24"/>
        </w:rPr>
        <w:fldChar w:fldCharType="separate"/>
      </w:r>
      <w:r>
        <w:fldChar w:fldCharType="begin"/>
      </w:r>
      <w:r>
        <w:instrText xml:space="preserve"> HYPERLINK \l "_Toc26809" </w:instrText>
      </w:r>
      <w:r>
        <w:fldChar w:fldCharType="separate"/>
      </w:r>
      <w:r>
        <w:rPr>
          <w:rFonts w:hint="eastAsia" w:asciiTheme="minorEastAsia" w:hAnsiTheme="minorEastAsia" w:cstheme="minorEastAsia"/>
          <w:sz w:val="24"/>
          <w:szCs w:val="24"/>
        </w:rPr>
        <w:t>一、 概况</w:t>
      </w:r>
      <w:r>
        <w:rPr>
          <w:rFonts w:hint="eastAsia" w:asciiTheme="minorEastAsia" w:hAnsiTheme="minorEastAsia" w:cstheme="minorEastAsia"/>
          <w:sz w:val="24"/>
          <w:szCs w:val="24"/>
        </w:rPr>
        <w:tab/>
      </w:r>
      <w:r>
        <w:rPr>
          <w:rFonts w:hint="eastAsia" w:asciiTheme="minorEastAsia" w:hAnsiTheme="minorEastAsia" w:cstheme="minorEastAsia"/>
          <w:sz w:val="24"/>
          <w:szCs w:val="24"/>
        </w:rPr>
        <w:fldChar w:fldCharType="begin"/>
      </w:r>
      <w:r>
        <w:rPr>
          <w:rFonts w:hint="eastAsia" w:asciiTheme="minorEastAsia" w:hAnsiTheme="minorEastAsia" w:cstheme="minorEastAsia"/>
          <w:sz w:val="24"/>
          <w:szCs w:val="24"/>
        </w:rPr>
        <w:instrText xml:space="preserve"> PAGEREF _Toc26809 </w:instrText>
      </w:r>
      <w:r>
        <w:rPr>
          <w:rFonts w:hint="eastAsia" w:asciiTheme="minorEastAsia" w:hAnsiTheme="minorEastAsia" w:cstheme="minorEastAsia"/>
          <w:sz w:val="24"/>
          <w:szCs w:val="24"/>
        </w:rPr>
        <w:fldChar w:fldCharType="separate"/>
      </w:r>
      <w:r>
        <w:rPr>
          <w:rFonts w:hint="eastAsia" w:asciiTheme="minorEastAsia" w:hAnsiTheme="minorEastAsia" w:cstheme="minorEastAsia"/>
          <w:sz w:val="24"/>
          <w:szCs w:val="24"/>
        </w:rPr>
        <w:t>- 2 -</w:t>
      </w:r>
      <w:r>
        <w:rPr>
          <w:rFonts w:hint="eastAsia" w:asciiTheme="minorEastAsia" w:hAnsiTheme="minorEastAsia" w:cstheme="minorEastAsia"/>
          <w:sz w:val="24"/>
          <w:szCs w:val="24"/>
        </w:rPr>
        <w:fldChar w:fldCharType="end"/>
      </w:r>
      <w:r>
        <w:rPr>
          <w:rFonts w:hint="eastAsia" w:asciiTheme="minorEastAsia" w:hAnsiTheme="minorEastAsia" w:cstheme="minorEastAsia"/>
          <w:sz w:val="24"/>
          <w:szCs w:val="24"/>
        </w:rPr>
        <w:fldChar w:fldCharType="end"/>
      </w:r>
    </w:p>
    <w:p>
      <w:pPr>
        <w:pStyle w:val="12"/>
        <w:tabs>
          <w:tab w:val="right" w:leader="dot" w:pos="8312"/>
        </w:tabs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fldChar w:fldCharType="begin"/>
      </w:r>
      <w:r>
        <w:instrText xml:space="preserve"> HYPERLINK \l "_Toc7358" </w:instrText>
      </w:r>
      <w:r>
        <w:fldChar w:fldCharType="separate"/>
      </w:r>
      <w:r>
        <w:rPr>
          <w:rFonts w:hint="eastAsia" w:asciiTheme="minorEastAsia" w:hAnsiTheme="minorEastAsia" w:cstheme="minorEastAsia"/>
          <w:sz w:val="24"/>
          <w:szCs w:val="24"/>
        </w:rPr>
        <w:t>二、 设备参数</w:t>
      </w:r>
      <w:r>
        <w:rPr>
          <w:rFonts w:hint="eastAsia" w:asciiTheme="minorEastAsia" w:hAnsiTheme="minorEastAsia" w:cstheme="minorEastAsia"/>
          <w:sz w:val="24"/>
          <w:szCs w:val="24"/>
        </w:rPr>
        <w:tab/>
      </w:r>
      <w:r>
        <w:rPr>
          <w:rFonts w:hint="eastAsia" w:asciiTheme="minorEastAsia" w:hAnsiTheme="minorEastAsia" w:cstheme="minorEastAsia"/>
          <w:sz w:val="24"/>
          <w:szCs w:val="24"/>
        </w:rPr>
        <w:fldChar w:fldCharType="begin"/>
      </w:r>
      <w:r>
        <w:rPr>
          <w:rFonts w:hint="eastAsia" w:asciiTheme="minorEastAsia" w:hAnsiTheme="minorEastAsia" w:cstheme="minorEastAsia"/>
          <w:sz w:val="24"/>
          <w:szCs w:val="24"/>
        </w:rPr>
        <w:instrText xml:space="preserve"> PAGEREF _Toc7358 </w:instrText>
      </w:r>
      <w:r>
        <w:rPr>
          <w:rFonts w:hint="eastAsia" w:asciiTheme="minorEastAsia" w:hAnsiTheme="minorEastAsia" w:cstheme="minorEastAsia"/>
          <w:sz w:val="24"/>
          <w:szCs w:val="24"/>
        </w:rPr>
        <w:fldChar w:fldCharType="separate"/>
      </w:r>
      <w:r>
        <w:rPr>
          <w:rFonts w:hint="eastAsia" w:asciiTheme="minorEastAsia" w:hAnsiTheme="minorEastAsia" w:cstheme="minorEastAsia"/>
          <w:sz w:val="24"/>
          <w:szCs w:val="24"/>
        </w:rPr>
        <w:t>- 2 -</w:t>
      </w:r>
      <w:r>
        <w:rPr>
          <w:rFonts w:hint="eastAsia" w:asciiTheme="minorEastAsia" w:hAnsiTheme="minorEastAsia" w:cstheme="minorEastAsia"/>
          <w:sz w:val="24"/>
          <w:szCs w:val="24"/>
        </w:rPr>
        <w:fldChar w:fldCharType="end"/>
      </w:r>
      <w:r>
        <w:rPr>
          <w:rFonts w:hint="eastAsia" w:asciiTheme="minorEastAsia" w:hAnsiTheme="minorEastAsia" w:cstheme="minorEastAsia"/>
          <w:sz w:val="24"/>
          <w:szCs w:val="24"/>
        </w:rPr>
        <w:fldChar w:fldCharType="end"/>
      </w:r>
    </w:p>
    <w:p>
      <w:pPr>
        <w:pStyle w:val="12"/>
        <w:tabs>
          <w:tab w:val="right" w:leader="dot" w:pos="8312"/>
        </w:tabs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fldChar w:fldCharType="begin"/>
      </w:r>
      <w:r>
        <w:instrText xml:space="preserve"> HYPERLINK \l "_Toc789" </w:instrText>
      </w:r>
      <w:r>
        <w:fldChar w:fldCharType="separate"/>
      </w:r>
      <w:r>
        <w:rPr>
          <w:rFonts w:hint="eastAsia" w:asciiTheme="minorEastAsia" w:hAnsiTheme="minorEastAsia" w:cstheme="minorEastAsia"/>
          <w:sz w:val="24"/>
          <w:szCs w:val="24"/>
        </w:rPr>
        <w:t>三、 工作内容</w:t>
      </w:r>
      <w:r>
        <w:rPr>
          <w:rFonts w:hint="eastAsia" w:asciiTheme="minorEastAsia" w:hAnsiTheme="minorEastAsia" w:cstheme="minorEastAsia"/>
          <w:sz w:val="24"/>
          <w:szCs w:val="24"/>
        </w:rPr>
        <w:tab/>
      </w:r>
      <w:r>
        <w:rPr>
          <w:rFonts w:hint="eastAsia" w:asciiTheme="minorEastAsia" w:hAnsiTheme="minorEastAsia" w:cstheme="minorEastAsia"/>
          <w:sz w:val="24"/>
          <w:szCs w:val="24"/>
        </w:rPr>
        <w:fldChar w:fldCharType="begin"/>
      </w:r>
      <w:r>
        <w:rPr>
          <w:rFonts w:hint="eastAsia" w:asciiTheme="minorEastAsia" w:hAnsiTheme="minorEastAsia" w:cstheme="minorEastAsia"/>
          <w:sz w:val="24"/>
          <w:szCs w:val="24"/>
        </w:rPr>
        <w:instrText xml:space="preserve"> PAGEREF _Toc789 </w:instrText>
      </w:r>
      <w:r>
        <w:rPr>
          <w:rFonts w:hint="eastAsia" w:asciiTheme="minorEastAsia" w:hAnsiTheme="minorEastAsia" w:cstheme="minorEastAsia"/>
          <w:sz w:val="24"/>
          <w:szCs w:val="24"/>
        </w:rPr>
        <w:fldChar w:fldCharType="separate"/>
      </w:r>
      <w:r>
        <w:rPr>
          <w:rFonts w:hint="eastAsia" w:asciiTheme="minorEastAsia" w:hAnsiTheme="minorEastAsia" w:cstheme="minorEastAsia"/>
          <w:sz w:val="24"/>
          <w:szCs w:val="24"/>
        </w:rPr>
        <w:t>- 2 -</w:t>
      </w:r>
      <w:r>
        <w:rPr>
          <w:rFonts w:hint="eastAsia" w:asciiTheme="minorEastAsia" w:hAnsiTheme="minorEastAsia" w:cstheme="minorEastAsia"/>
          <w:sz w:val="24"/>
          <w:szCs w:val="24"/>
        </w:rPr>
        <w:fldChar w:fldCharType="end"/>
      </w:r>
      <w:r>
        <w:rPr>
          <w:rFonts w:hint="eastAsia" w:asciiTheme="minorEastAsia" w:hAnsiTheme="minorEastAsia" w:cstheme="minorEastAsia"/>
          <w:sz w:val="24"/>
          <w:szCs w:val="24"/>
        </w:rPr>
        <w:fldChar w:fldCharType="end"/>
      </w:r>
    </w:p>
    <w:p>
      <w:pPr>
        <w:pStyle w:val="12"/>
        <w:tabs>
          <w:tab w:val="right" w:leader="dot" w:pos="8312"/>
        </w:tabs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fldChar w:fldCharType="begin"/>
      </w:r>
      <w:r>
        <w:instrText xml:space="preserve"> HYPERLINK \l "_Toc14094" </w:instrText>
      </w:r>
      <w:r>
        <w:fldChar w:fldCharType="separate"/>
      </w:r>
      <w:r>
        <w:rPr>
          <w:rFonts w:hint="eastAsia" w:asciiTheme="minorEastAsia" w:hAnsiTheme="minorEastAsia" w:cstheme="minorEastAsia"/>
          <w:sz w:val="24"/>
          <w:szCs w:val="24"/>
        </w:rPr>
        <w:t>四、 工作要求</w:t>
      </w:r>
      <w:r>
        <w:rPr>
          <w:rFonts w:hint="eastAsia" w:asciiTheme="minorEastAsia" w:hAnsiTheme="minorEastAsia" w:cstheme="minorEastAsia"/>
          <w:sz w:val="24"/>
          <w:szCs w:val="24"/>
        </w:rPr>
        <w:tab/>
      </w:r>
      <w:r>
        <w:rPr>
          <w:rFonts w:hint="eastAsia" w:asciiTheme="minorEastAsia" w:hAnsiTheme="minorEastAsia" w:cstheme="minorEastAsia"/>
          <w:sz w:val="24"/>
          <w:szCs w:val="24"/>
        </w:rPr>
        <w:fldChar w:fldCharType="begin"/>
      </w:r>
      <w:r>
        <w:rPr>
          <w:rFonts w:hint="eastAsia" w:asciiTheme="minorEastAsia" w:hAnsiTheme="minorEastAsia" w:cstheme="minorEastAsia"/>
          <w:sz w:val="24"/>
          <w:szCs w:val="24"/>
        </w:rPr>
        <w:instrText xml:space="preserve"> PAGEREF _Toc14094 </w:instrText>
      </w:r>
      <w:r>
        <w:rPr>
          <w:rFonts w:hint="eastAsia" w:asciiTheme="minorEastAsia" w:hAnsiTheme="minorEastAsia" w:cstheme="minorEastAsia"/>
          <w:sz w:val="24"/>
          <w:szCs w:val="24"/>
        </w:rPr>
        <w:fldChar w:fldCharType="separate"/>
      </w:r>
      <w:r>
        <w:rPr>
          <w:rFonts w:hint="eastAsia" w:asciiTheme="minorEastAsia" w:hAnsiTheme="minorEastAsia" w:cstheme="minorEastAsia"/>
          <w:sz w:val="24"/>
          <w:szCs w:val="24"/>
        </w:rPr>
        <w:t>- 5 -</w:t>
      </w:r>
      <w:r>
        <w:rPr>
          <w:rFonts w:hint="eastAsia" w:asciiTheme="minorEastAsia" w:hAnsiTheme="minorEastAsia" w:cstheme="minorEastAsia"/>
          <w:sz w:val="24"/>
          <w:szCs w:val="24"/>
        </w:rPr>
        <w:fldChar w:fldCharType="end"/>
      </w:r>
      <w:r>
        <w:rPr>
          <w:rFonts w:hint="eastAsia" w:asciiTheme="minorEastAsia" w:hAnsiTheme="minorEastAsia" w:cstheme="minorEastAsia"/>
          <w:sz w:val="24"/>
          <w:szCs w:val="24"/>
        </w:rPr>
        <w:fldChar w:fldCharType="end"/>
      </w:r>
    </w:p>
    <w:p>
      <w:pPr>
        <w:pStyle w:val="12"/>
        <w:tabs>
          <w:tab w:val="right" w:leader="dot" w:pos="8312"/>
        </w:tabs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fldChar w:fldCharType="begin"/>
      </w:r>
      <w:r>
        <w:instrText xml:space="preserve"> HYPERLINK \l "_Toc23446" </w:instrText>
      </w:r>
      <w:r>
        <w:fldChar w:fldCharType="separate"/>
      </w:r>
      <w:r>
        <w:rPr>
          <w:rFonts w:hint="eastAsia" w:asciiTheme="minorEastAsia" w:hAnsiTheme="minorEastAsia" w:cstheme="minorEastAsia"/>
          <w:sz w:val="24"/>
          <w:szCs w:val="24"/>
        </w:rPr>
        <w:t>五、 工作要求</w:t>
      </w:r>
      <w:r>
        <w:rPr>
          <w:rFonts w:hint="eastAsia" w:asciiTheme="minorEastAsia" w:hAnsiTheme="minorEastAsia" w:cstheme="minorEastAsia"/>
          <w:sz w:val="24"/>
          <w:szCs w:val="24"/>
        </w:rPr>
        <w:tab/>
      </w:r>
      <w:r>
        <w:rPr>
          <w:rFonts w:hint="eastAsia" w:asciiTheme="minorEastAsia" w:hAnsiTheme="minorEastAsia" w:cstheme="minorEastAsia"/>
          <w:sz w:val="24"/>
          <w:szCs w:val="24"/>
        </w:rPr>
        <w:fldChar w:fldCharType="begin"/>
      </w:r>
      <w:r>
        <w:rPr>
          <w:rFonts w:hint="eastAsia" w:asciiTheme="minorEastAsia" w:hAnsiTheme="minorEastAsia" w:cstheme="minorEastAsia"/>
          <w:sz w:val="24"/>
          <w:szCs w:val="24"/>
        </w:rPr>
        <w:instrText xml:space="preserve"> PAGEREF _Toc23446 </w:instrText>
      </w:r>
      <w:r>
        <w:rPr>
          <w:rFonts w:hint="eastAsia" w:asciiTheme="minorEastAsia" w:hAnsiTheme="minorEastAsia" w:cstheme="minorEastAsia"/>
          <w:sz w:val="24"/>
          <w:szCs w:val="24"/>
        </w:rPr>
        <w:fldChar w:fldCharType="separate"/>
      </w:r>
      <w:r>
        <w:rPr>
          <w:rFonts w:hint="eastAsia" w:asciiTheme="minorEastAsia" w:hAnsiTheme="minorEastAsia" w:cstheme="minorEastAsia"/>
          <w:sz w:val="24"/>
          <w:szCs w:val="24"/>
        </w:rPr>
        <w:t>- 6 -</w:t>
      </w:r>
      <w:r>
        <w:rPr>
          <w:rFonts w:hint="eastAsia" w:asciiTheme="minorEastAsia" w:hAnsiTheme="minorEastAsia" w:cstheme="minorEastAsia"/>
          <w:sz w:val="24"/>
          <w:szCs w:val="24"/>
        </w:rPr>
        <w:fldChar w:fldCharType="end"/>
      </w:r>
      <w:r>
        <w:rPr>
          <w:rFonts w:hint="eastAsia" w:asciiTheme="minorEastAsia" w:hAnsiTheme="minorEastAsia" w:cstheme="minorEastAsia"/>
          <w:sz w:val="24"/>
          <w:szCs w:val="24"/>
        </w:rPr>
        <w:fldChar w:fldCharType="end"/>
      </w:r>
    </w:p>
    <w:p>
      <w:pPr>
        <w:pStyle w:val="12"/>
        <w:tabs>
          <w:tab w:val="right" w:leader="dot" w:pos="8312"/>
        </w:tabs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fldChar w:fldCharType="begin"/>
      </w:r>
      <w:r>
        <w:instrText xml:space="preserve"> HYPERLINK \l "_Toc3153" </w:instrText>
      </w:r>
      <w:r>
        <w:fldChar w:fldCharType="separate"/>
      </w:r>
      <w:r>
        <w:rPr>
          <w:rFonts w:hint="eastAsia" w:asciiTheme="minorEastAsia" w:hAnsiTheme="minorEastAsia" w:cstheme="minorEastAsia"/>
          <w:sz w:val="24"/>
          <w:szCs w:val="24"/>
        </w:rPr>
        <w:t>六、 安全要求</w:t>
      </w:r>
      <w:r>
        <w:rPr>
          <w:rFonts w:hint="eastAsia" w:asciiTheme="minorEastAsia" w:hAnsiTheme="minorEastAsia" w:cstheme="minorEastAsia"/>
          <w:sz w:val="24"/>
          <w:szCs w:val="24"/>
        </w:rPr>
        <w:tab/>
      </w:r>
      <w:r>
        <w:rPr>
          <w:rFonts w:hint="eastAsia" w:asciiTheme="minorEastAsia" w:hAnsiTheme="minorEastAsia" w:cstheme="minorEastAsia"/>
          <w:sz w:val="24"/>
          <w:szCs w:val="24"/>
        </w:rPr>
        <w:fldChar w:fldCharType="begin"/>
      </w:r>
      <w:r>
        <w:rPr>
          <w:rFonts w:hint="eastAsia" w:asciiTheme="minorEastAsia" w:hAnsiTheme="minorEastAsia" w:cstheme="minorEastAsia"/>
          <w:sz w:val="24"/>
          <w:szCs w:val="24"/>
        </w:rPr>
        <w:instrText xml:space="preserve"> PAGEREF _Toc3153 </w:instrText>
      </w:r>
      <w:r>
        <w:rPr>
          <w:rFonts w:hint="eastAsia" w:asciiTheme="minorEastAsia" w:hAnsiTheme="minorEastAsia" w:cstheme="minorEastAsia"/>
          <w:sz w:val="24"/>
          <w:szCs w:val="24"/>
        </w:rPr>
        <w:fldChar w:fldCharType="separate"/>
      </w:r>
      <w:r>
        <w:rPr>
          <w:rFonts w:hint="eastAsia" w:asciiTheme="minorEastAsia" w:hAnsiTheme="minorEastAsia" w:cstheme="minorEastAsia"/>
          <w:sz w:val="24"/>
          <w:szCs w:val="24"/>
        </w:rPr>
        <w:t>- 7 -</w:t>
      </w:r>
      <w:r>
        <w:rPr>
          <w:rFonts w:hint="eastAsia" w:asciiTheme="minorEastAsia" w:hAnsiTheme="minorEastAsia" w:cstheme="minorEastAsia"/>
          <w:sz w:val="24"/>
          <w:szCs w:val="24"/>
        </w:rPr>
        <w:fldChar w:fldCharType="end"/>
      </w:r>
      <w:r>
        <w:rPr>
          <w:rFonts w:hint="eastAsia" w:asciiTheme="minorEastAsia" w:hAnsiTheme="minorEastAsia" w:cstheme="minorEastAsia"/>
          <w:sz w:val="24"/>
          <w:szCs w:val="24"/>
        </w:rPr>
        <w:fldChar w:fldCharType="end"/>
      </w:r>
    </w:p>
    <w:p>
      <w:pPr>
        <w:pStyle w:val="12"/>
        <w:tabs>
          <w:tab w:val="right" w:leader="dot" w:pos="8312"/>
        </w:tabs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fldChar w:fldCharType="begin"/>
      </w:r>
      <w:r>
        <w:instrText xml:space="preserve"> HYPERLINK \l "_Toc16406" </w:instrText>
      </w:r>
      <w:r>
        <w:fldChar w:fldCharType="separate"/>
      </w:r>
      <w:r>
        <w:rPr>
          <w:rFonts w:hint="eastAsia" w:asciiTheme="minorEastAsia" w:hAnsiTheme="minorEastAsia" w:cstheme="minorEastAsia"/>
          <w:sz w:val="24"/>
          <w:szCs w:val="24"/>
        </w:rPr>
        <w:t>七、 质量要求</w:t>
      </w:r>
      <w:r>
        <w:rPr>
          <w:rFonts w:hint="eastAsia" w:asciiTheme="minorEastAsia" w:hAnsiTheme="minorEastAsia" w:cstheme="minorEastAsia"/>
          <w:sz w:val="24"/>
          <w:szCs w:val="24"/>
        </w:rPr>
        <w:tab/>
      </w:r>
      <w:r>
        <w:rPr>
          <w:rFonts w:hint="eastAsia" w:asciiTheme="minorEastAsia" w:hAnsiTheme="minorEastAsia" w:cstheme="minorEastAsia"/>
          <w:sz w:val="24"/>
          <w:szCs w:val="24"/>
        </w:rPr>
        <w:fldChar w:fldCharType="begin"/>
      </w:r>
      <w:r>
        <w:rPr>
          <w:rFonts w:hint="eastAsia" w:asciiTheme="minorEastAsia" w:hAnsiTheme="minorEastAsia" w:cstheme="minorEastAsia"/>
          <w:sz w:val="24"/>
          <w:szCs w:val="24"/>
        </w:rPr>
        <w:instrText xml:space="preserve"> PAGEREF _Toc16406 </w:instrText>
      </w:r>
      <w:r>
        <w:rPr>
          <w:rFonts w:hint="eastAsia" w:asciiTheme="minorEastAsia" w:hAnsiTheme="minorEastAsia" w:cstheme="minorEastAsia"/>
          <w:sz w:val="24"/>
          <w:szCs w:val="24"/>
        </w:rPr>
        <w:fldChar w:fldCharType="separate"/>
      </w:r>
      <w:r>
        <w:rPr>
          <w:rFonts w:hint="eastAsia" w:asciiTheme="minorEastAsia" w:hAnsiTheme="minorEastAsia" w:cstheme="minorEastAsia"/>
          <w:sz w:val="24"/>
          <w:szCs w:val="24"/>
        </w:rPr>
        <w:t>- 8 -</w:t>
      </w:r>
      <w:r>
        <w:rPr>
          <w:rFonts w:hint="eastAsia" w:asciiTheme="minorEastAsia" w:hAnsiTheme="minorEastAsia" w:cstheme="minorEastAsia"/>
          <w:sz w:val="24"/>
          <w:szCs w:val="24"/>
        </w:rPr>
        <w:fldChar w:fldCharType="end"/>
      </w:r>
      <w:r>
        <w:rPr>
          <w:rFonts w:hint="eastAsia" w:asciiTheme="minorEastAsia" w:hAnsiTheme="minorEastAsia" w:cstheme="minorEastAsia"/>
          <w:sz w:val="24"/>
          <w:szCs w:val="24"/>
        </w:rPr>
        <w:fldChar w:fldCharType="end"/>
      </w:r>
    </w:p>
    <w:p>
      <w:pPr>
        <w:pStyle w:val="12"/>
        <w:tabs>
          <w:tab w:val="right" w:leader="dot" w:pos="8312"/>
        </w:tabs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fldChar w:fldCharType="begin"/>
      </w:r>
      <w:r>
        <w:instrText xml:space="preserve"> HYPERLINK \l "_Toc12312" </w:instrText>
      </w:r>
      <w:r>
        <w:fldChar w:fldCharType="separate"/>
      </w:r>
      <w:r>
        <w:rPr>
          <w:rFonts w:hint="eastAsia" w:asciiTheme="minorEastAsia" w:hAnsiTheme="minorEastAsia" w:cstheme="minorEastAsia"/>
          <w:sz w:val="24"/>
          <w:szCs w:val="24"/>
        </w:rPr>
        <w:t>八、 提交的材料及报告</w:t>
      </w:r>
      <w:r>
        <w:rPr>
          <w:rFonts w:hint="eastAsia" w:asciiTheme="minorEastAsia" w:hAnsiTheme="minorEastAsia" w:cstheme="minorEastAsia"/>
          <w:sz w:val="24"/>
          <w:szCs w:val="24"/>
        </w:rPr>
        <w:tab/>
      </w:r>
      <w:r>
        <w:rPr>
          <w:rFonts w:hint="eastAsia" w:asciiTheme="minorEastAsia" w:hAnsiTheme="minorEastAsia" w:cstheme="minorEastAsia"/>
          <w:sz w:val="24"/>
          <w:szCs w:val="24"/>
        </w:rPr>
        <w:fldChar w:fldCharType="begin"/>
      </w:r>
      <w:r>
        <w:rPr>
          <w:rFonts w:hint="eastAsia" w:asciiTheme="minorEastAsia" w:hAnsiTheme="minorEastAsia" w:cstheme="minorEastAsia"/>
          <w:sz w:val="24"/>
          <w:szCs w:val="24"/>
        </w:rPr>
        <w:instrText xml:space="preserve"> PAGEREF _Toc12312 </w:instrText>
      </w:r>
      <w:r>
        <w:rPr>
          <w:rFonts w:hint="eastAsia" w:asciiTheme="minorEastAsia" w:hAnsiTheme="minorEastAsia" w:cstheme="minorEastAsia"/>
          <w:sz w:val="24"/>
          <w:szCs w:val="24"/>
        </w:rPr>
        <w:fldChar w:fldCharType="separate"/>
      </w:r>
      <w:r>
        <w:rPr>
          <w:rFonts w:hint="eastAsia" w:asciiTheme="minorEastAsia" w:hAnsiTheme="minorEastAsia" w:cstheme="minorEastAsia"/>
          <w:sz w:val="24"/>
          <w:szCs w:val="24"/>
        </w:rPr>
        <w:t>- 8 -</w:t>
      </w:r>
      <w:r>
        <w:rPr>
          <w:rFonts w:hint="eastAsia" w:asciiTheme="minorEastAsia" w:hAnsiTheme="minorEastAsia" w:cstheme="minorEastAsia"/>
          <w:sz w:val="24"/>
          <w:szCs w:val="24"/>
        </w:rPr>
        <w:fldChar w:fldCharType="end"/>
      </w:r>
      <w:r>
        <w:rPr>
          <w:rFonts w:hint="eastAsia" w:asciiTheme="minorEastAsia" w:hAnsiTheme="minorEastAsia" w:cstheme="minorEastAsia"/>
          <w:sz w:val="24"/>
          <w:szCs w:val="24"/>
        </w:rPr>
        <w:fldChar w:fldCharType="end"/>
      </w:r>
    </w:p>
    <w:p>
      <w:pPr>
        <w:pStyle w:val="12"/>
        <w:tabs>
          <w:tab w:val="right" w:leader="dot" w:pos="8312"/>
        </w:tabs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fldChar w:fldCharType="begin"/>
      </w:r>
      <w:r>
        <w:instrText xml:space="preserve"> HYPERLINK \l "_Toc26260" </w:instrText>
      </w:r>
      <w:r>
        <w:fldChar w:fldCharType="separate"/>
      </w:r>
      <w:r>
        <w:rPr>
          <w:rFonts w:hint="eastAsia" w:asciiTheme="minorEastAsia" w:hAnsiTheme="minorEastAsia" w:cstheme="minorEastAsia"/>
          <w:sz w:val="24"/>
          <w:szCs w:val="24"/>
        </w:rPr>
        <w:t>九、 供应商</w:t>
      </w: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人员</w:t>
      </w:r>
      <w:r>
        <w:rPr>
          <w:rFonts w:hint="eastAsia" w:asciiTheme="minorEastAsia" w:hAnsiTheme="minorEastAsia" w:cstheme="minorEastAsia"/>
          <w:sz w:val="24"/>
          <w:szCs w:val="24"/>
        </w:rPr>
        <w:t>要求</w:t>
      </w:r>
      <w:r>
        <w:rPr>
          <w:rFonts w:hint="eastAsia" w:asciiTheme="minorEastAsia" w:hAnsiTheme="minorEastAsia" w:cstheme="minorEastAsia"/>
          <w:sz w:val="24"/>
          <w:szCs w:val="24"/>
        </w:rPr>
        <w:tab/>
      </w:r>
      <w:r>
        <w:rPr>
          <w:rFonts w:hint="eastAsia" w:asciiTheme="minorEastAsia" w:hAnsiTheme="minorEastAsia" w:cstheme="minorEastAsia"/>
          <w:sz w:val="24"/>
          <w:szCs w:val="24"/>
        </w:rPr>
        <w:fldChar w:fldCharType="begin"/>
      </w:r>
      <w:r>
        <w:rPr>
          <w:rFonts w:hint="eastAsia" w:asciiTheme="minorEastAsia" w:hAnsiTheme="minorEastAsia" w:cstheme="minorEastAsia"/>
          <w:sz w:val="24"/>
          <w:szCs w:val="24"/>
        </w:rPr>
        <w:instrText xml:space="preserve"> PAGEREF _Toc26260 </w:instrText>
      </w:r>
      <w:r>
        <w:rPr>
          <w:rFonts w:hint="eastAsia" w:asciiTheme="minorEastAsia" w:hAnsiTheme="minorEastAsia" w:cstheme="minorEastAsia"/>
          <w:sz w:val="24"/>
          <w:szCs w:val="24"/>
        </w:rPr>
        <w:fldChar w:fldCharType="separate"/>
      </w:r>
      <w:r>
        <w:rPr>
          <w:rFonts w:hint="eastAsia" w:asciiTheme="minorEastAsia" w:hAnsiTheme="minorEastAsia" w:cstheme="minorEastAsia"/>
          <w:sz w:val="24"/>
          <w:szCs w:val="24"/>
        </w:rPr>
        <w:t>- 8 -</w:t>
      </w:r>
      <w:r>
        <w:rPr>
          <w:rFonts w:hint="eastAsia" w:asciiTheme="minorEastAsia" w:hAnsiTheme="minorEastAsia" w:cstheme="minorEastAsia"/>
          <w:sz w:val="24"/>
          <w:szCs w:val="24"/>
        </w:rPr>
        <w:fldChar w:fldCharType="end"/>
      </w:r>
      <w:r>
        <w:rPr>
          <w:rFonts w:hint="eastAsia" w:asciiTheme="minorEastAsia" w:hAnsiTheme="minorEastAsia" w:cstheme="minorEastAsia"/>
          <w:sz w:val="24"/>
          <w:szCs w:val="24"/>
        </w:rPr>
        <w:fldChar w:fldCharType="end"/>
      </w:r>
    </w:p>
    <w:p>
      <w:pPr>
        <w:pStyle w:val="12"/>
        <w:tabs>
          <w:tab w:val="right" w:leader="dot" w:pos="8312"/>
        </w:tabs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fldChar w:fldCharType="begin"/>
      </w:r>
      <w:r>
        <w:instrText xml:space="preserve"> HYPERLINK \l "_Toc30282" </w:instrText>
      </w:r>
      <w:r>
        <w:fldChar w:fldCharType="separate"/>
      </w:r>
      <w:r>
        <w:rPr>
          <w:rFonts w:hint="eastAsia" w:asciiTheme="minorEastAsia" w:hAnsiTheme="minorEastAsia" w:cstheme="minorEastAsia"/>
          <w:sz w:val="24"/>
          <w:szCs w:val="24"/>
        </w:rPr>
        <w:t>十、 双方责任</w:t>
      </w:r>
      <w:bookmarkStart w:id="21" w:name="_GoBack"/>
      <w:bookmarkEnd w:id="21"/>
      <w:r>
        <w:rPr>
          <w:rFonts w:hint="eastAsia" w:asciiTheme="minorEastAsia" w:hAnsiTheme="minorEastAsia" w:cstheme="minorEastAsia"/>
          <w:sz w:val="24"/>
          <w:szCs w:val="24"/>
        </w:rPr>
        <w:tab/>
      </w:r>
      <w:r>
        <w:rPr>
          <w:rFonts w:hint="eastAsia" w:asciiTheme="minorEastAsia" w:hAnsiTheme="minorEastAsia" w:cstheme="minorEastAsia"/>
          <w:sz w:val="24"/>
          <w:szCs w:val="24"/>
        </w:rPr>
        <w:fldChar w:fldCharType="begin"/>
      </w:r>
      <w:r>
        <w:rPr>
          <w:rFonts w:hint="eastAsia" w:asciiTheme="minorEastAsia" w:hAnsiTheme="minorEastAsia" w:cstheme="minorEastAsia"/>
          <w:sz w:val="24"/>
          <w:szCs w:val="24"/>
        </w:rPr>
        <w:instrText xml:space="preserve"> PAGEREF _Toc30282 </w:instrText>
      </w:r>
      <w:r>
        <w:rPr>
          <w:rFonts w:hint="eastAsia" w:asciiTheme="minorEastAsia" w:hAnsiTheme="minorEastAsia" w:cstheme="minorEastAsia"/>
          <w:sz w:val="24"/>
          <w:szCs w:val="24"/>
        </w:rPr>
        <w:fldChar w:fldCharType="separate"/>
      </w:r>
      <w:r>
        <w:rPr>
          <w:rFonts w:hint="eastAsia" w:asciiTheme="minorEastAsia" w:hAnsiTheme="minorEastAsia" w:cstheme="minorEastAsia"/>
          <w:sz w:val="24"/>
          <w:szCs w:val="24"/>
        </w:rPr>
        <w:t>- 9 -</w:t>
      </w:r>
      <w:r>
        <w:rPr>
          <w:rFonts w:hint="eastAsia" w:asciiTheme="minorEastAsia" w:hAnsiTheme="minorEastAsia" w:cstheme="minorEastAsia"/>
          <w:sz w:val="24"/>
          <w:szCs w:val="24"/>
        </w:rPr>
        <w:fldChar w:fldCharType="end"/>
      </w:r>
      <w:r>
        <w:rPr>
          <w:rFonts w:hint="eastAsia" w:asciiTheme="minorEastAsia" w:hAnsiTheme="minorEastAsia" w:cstheme="minorEastAsia"/>
          <w:sz w:val="24"/>
          <w:szCs w:val="24"/>
        </w:rPr>
        <w:fldChar w:fldCharType="end"/>
      </w:r>
    </w:p>
    <w:p>
      <w:pPr>
        <w:pStyle w:val="12"/>
        <w:tabs>
          <w:tab w:val="right" w:leader="dot" w:pos="8312"/>
        </w:tabs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fldChar w:fldCharType="begin"/>
      </w:r>
      <w:r>
        <w:instrText xml:space="preserve"> HYPERLINK \l "_Toc6552" </w:instrText>
      </w:r>
      <w:r>
        <w:fldChar w:fldCharType="separate"/>
      </w:r>
      <w:r>
        <w:rPr>
          <w:rFonts w:hint="eastAsia" w:asciiTheme="minorEastAsia" w:hAnsiTheme="minorEastAsia" w:cstheme="minorEastAsia"/>
          <w:sz w:val="24"/>
          <w:szCs w:val="24"/>
        </w:rPr>
        <w:t>十一、 考核内容</w:t>
      </w:r>
      <w:r>
        <w:rPr>
          <w:rFonts w:hint="eastAsia" w:asciiTheme="minorEastAsia" w:hAnsiTheme="minorEastAsia" w:cstheme="minorEastAsia"/>
          <w:sz w:val="24"/>
          <w:szCs w:val="24"/>
        </w:rPr>
        <w:tab/>
      </w:r>
      <w:r>
        <w:rPr>
          <w:rFonts w:hint="eastAsia" w:asciiTheme="minorEastAsia" w:hAnsiTheme="minorEastAsia" w:cstheme="minorEastAsia"/>
          <w:sz w:val="24"/>
          <w:szCs w:val="24"/>
        </w:rPr>
        <w:fldChar w:fldCharType="begin"/>
      </w:r>
      <w:r>
        <w:rPr>
          <w:rFonts w:hint="eastAsia" w:asciiTheme="minorEastAsia" w:hAnsiTheme="minorEastAsia" w:cstheme="minorEastAsia"/>
          <w:sz w:val="24"/>
          <w:szCs w:val="24"/>
        </w:rPr>
        <w:instrText xml:space="preserve"> PAGEREF _Toc6552 </w:instrText>
      </w:r>
      <w:r>
        <w:rPr>
          <w:rFonts w:hint="eastAsia" w:asciiTheme="minorEastAsia" w:hAnsiTheme="minorEastAsia" w:cstheme="minorEastAsia"/>
          <w:sz w:val="24"/>
          <w:szCs w:val="24"/>
        </w:rPr>
        <w:fldChar w:fldCharType="separate"/>
      </w:r>
      <w:r>
        <w:rPr>
          <w:rFonts w:hint="eastAsia" w:asciiTheme="minorEastAsia" w:hAnsiTheme="minorEastAsia" w:cstheme="minorEastAsia"/>
          <w:sz w:val="24"/>
          <w:szCs w:val="24"/>
        </w:rPr>
        <w:t>- 9 -</w:t>
      </w:r>
      <w:r>
        <w:rPr>
          <w:rFonts w:hint="eastAsia" w:asciiTheme="minorEastAsia" w:hAnsiTheme="minorEastAsia" w:cstheme="minorEastAsia"/>
          <w:sz w:val="24"/>
          <w:szCs w:val="24"/>
        </w:rPr>
        <w:fldChar w:fldCharType="end"/>
      </w:r>
      <w:r>
        <w:rPr>
          <w:rFonts w:hint="eastAsia" w:asciiTheme="minorEastAsia" w:hAnsiTheme="minorEastAsia" w:cstheme="minorEastAsia"/>
          <w:sz w:val="24"/>
          <w:szCs w:val="24"/>
        </w:rPr>
        <w:fldChar w:fldCharType="end"/>
      </w:r>
    </w:p>
    <w:p>
      <w:pPr>
        <w:spacing w:line="360" w:lineRule="auto"/>
        <w:jc w:val="center"/>
        <w:rPr>
          <w:sz w:val="30"/>
        </w:rPr>
      </w:pPr>
      <w:r>
        <w:rPr>
          <w:rFonts w:hint="eastAsia" w:asciiTheme="minorEastAsia" w:hAnsiTheme="minorEastAsia" w:cstheme="minorEastAsia"/>
          <w:sz w:val="24"/>
          <w:szCs w:val="24"/>
        </w:rPr>
        <w:fldChar w:fldCharType="end"/>
      </w:r>
    </w:p>
    <w:p>
      <w:pPr>
        <w:widowControl/>
        <w:jc w:val="left"/>
        <w:rPr>
          <w:sz w:val="30"/>
        </w:rPr>
      </w:pPr>
      <w:r>
        <w:rPr>
          <w:sz w:val="30"/>
        </w:rPr>
        <w:br w:type="page"/>
      </w:r>
    </w:p>
    <w:p>
      <w:pPr>
        <w:pStyle w:val="2"/>
        <w:numPr>
          <w:ilvl w:val="0"/>
          <w:numId w:val="1"/>
        </w:numPr>
        <w:spacing w:before="0" w:after="0" w:line="360" w:lineRule="auto"/>
        <w:ind w:left="482" w:hanging="482" w:hangingChars="200"/>
        <w:rPr>
          <w:sz w:val="24"/>
          <w:szCs w:val="24"/>
        </w:rPr>
      </w:pPr>
      <w:bookmarkStart w:id="0" w:name="_Toc26809"/>
      <w:bookmarkStart w:id="1" w:name="_Toc17582023"/>
      <w:r>
        <w:rPr>
          <w:rFonts w:hint="eastAsia"/>
          <w:sz w:val="24"/>
          <w:szCs w:val="24"/>
        </w:rPr>
        <w:t>概况</w:t>
      </w:r>
      <w:bookmarkEnd w:id="0"/>
      <w:bookmarkEnd w:id="1"/>
    </w:p>
    <w:p>
      <w:pPr>
        <w:spacing w:line="360" w:lineRule="auto"/>
        <w:ind w:firstLine="480" w:firstLineChars="200"/>
        <w:rPr>
          <w:rFonts w:ascii="宋体" w:hAnsi="宋体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两江燃机电厂#1余热锅炉是由东方日立锅炉有限公司设计、制造，型号：BHDB-M701F4-Q。高压蒸汽压力11.23MPa.g，高压蒸汽温度568℃，中压蒸汽压力3.93MPa.g，蒸汽温度280℃，再热蒸汽出口压力3.70MPa.g，温度568℃。高压主蒸汽电动闸阀、热再主蒸汽电动闸阀、一级再热器入口电动门对机组运行有着重要作用，机组早开晚停已成为常态，炉侧主蒸汽阀门在机组停机后阀门两侧压差较大（6Mpa），第二天起机远程开启阀门时，出现过力矩、不能快速开起来故障，必须人工就地盘动后，方能远程操作打开，为确保机组运行安全，旨在主蒸汽阀门处增加旁路。</w:t>
      </w:r>
    </w:p>
    <w:p>
      <w:pPr>
        <w:pStyle w:val="2"/>
        <w:numPr>
          <w:ilvl w:val="0"/>
          <w:numId w:val="1"/>
        </w:numPr>
        <w:spacing w:before="0" w:after="0" w:line="360" w:lineRule="auto"/>
        <w:ind w:left="482" w:hanging="482" w:hangingChars="200"/>
        <w:rPr>
          <w:sz w:val="24"/>
          <w:szCs w:val="24"/>
        </w:rPr>
      </w:pPr>
      <w:bookmarkStart w:id="2" w:name="_Toc7358"/>
      <w:bookmarkStart w:id="3" w:name="_Toc17582024"/>
      <w:r>
        <w:rPr>
          <w:rFonts w:hint="eastAsia"/>
          <w:sz w:val="24"/>
          <w:szCs w:val="24"/>
        </w:rPr>
        <w:t>设备参数</w:t>
      </w:r>
      <w:bookmarkEnd w:id="2"/>
      <w:bookmarkEnd w:id="3"/>
    </w:p>
    <w:tbl>
      <w:tblPr>
        <w:tblStyle w:val="17"/>
        <w:tblW w:w="8886" w:type="dxa"/>
        <w:jc w:val="center"/>
        <w:tblInd w:w="18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"/>
        <w:gridCol w:w="1776"/>
        <w:gridCol w:w="3085"/>
        <w:gridCol w:w="1650"/>
        <w:gridCol w:w="16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680" w:type="dxa"/>
          </w:tcPr>
          <w:p>
            <w:pPr>
              <w:pStyle w:val="20"/>
              <w:spacing w:line="360" w:lineRule="auto"/>
              <w:ind w:firstLine="0" w:firstLineChars="0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序号</w:t>
            </w:r>
          </w:p>
        </w:tc>
        <w:tc>
          <w:tcPr>
            <w:tcW w:w="1776" w:type="dxa"/>
          </w:tcPr>
          <w:p>
            <w:pPr>
              <w:pStyle w:val="20"/>
              <w:spacing w:line="360" w:lineRule="auto"/>
              <w:ind w:firstLine="0" w:firstLineChars="0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名称</w:t>
            </w:r>
          </w:p>
        </w:tc>
        <w:tc>
          <w:tcPr>
            <w:tcW w:w="3085" w:type="dxa"/>
          </w:tcPr>
          <w:p>
            <w:pPr>
              <w:pStyle w:val="20"/>
              <w:spacing w:line="360" w:lineRule="auto"/>
              <w:ind w:firstLine="0" w:firstLineChars="0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设备参数</w:t>
            </w:r>
          </w:p>
        </w:tc>
        <w:tc>
          <w:tcPr>
            <w:tcW w:w="1650" w:type="dxa"/>
          </w:tcPr>
          <w:p>
            <w:pPr>
              <w:pStyle w:val="20"/>
              <w:spacing w:line="360" w:lineRule="auto"/>
              <w:ind w:firstLine="0" w:firstLineChars="0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阀门两侧管道材质规格</w:t>
            </w:r>
          </w:p>
        </w:tc>
        <w:tc>
          <w:tcPr>
            <w:tcW w:w="1695" w:type="dxa"/>
          </w:tcPr>
          <w:p>
            <w:pPr>
              <w:pStyle w:val="20"/>
              <w:spacing w:line="360" w:lineRule="auto"/>
              <w:ind w:firstLine="0" w:firstLineChars="0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80" w:type="dxa"/>
            <w:vAlign w:val="center"/>
          </w:tcPr>
          <w:p>
            <w:pPr>
              <w:pStyle w:val="20"/>
              <w:numPr>
                <w:ilvl w:val="0"/>
                <w:numId w:val="2"/>
              </w:numPr>
              <w:spacing w:line="360" w:lineRule="auto"/>
              <w:ind w:left="0" w:firstLine="0" w:firstLineChars="0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776" w:type="dxa"/>
            <w:vAlign w:val="center"/>
          </w:tcPr>
          <w:p>
            <w:pPr>
              <w:pStyle w:val="20"/>
              <w:spacing w:line="360" w:lineRule="auto"/>
              <w:ind w:firstLine="0" w:firstLineChars="0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高压主蒸汽闸阀</w:t>
            </w:r>
          </w:p>
        </w:tc>
        <w:tc>
          <w:tcPr>
            <w:tcW w:w="3085" w:type="dxa"/>
            <w:vAlign w:val="center"/>
          </w:tcPr>
          <w:p>
            <w:pPr>
              <w:pStyle w:val="20"/>
              <w:spacing w:line="360" w:lineRule="auto"/>
              <w:ind w:firstLine="0" w:firstLineChars="0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阀门型号12",1500SPL C12A W-GATE PS BW MO使用压力11.23MPa,温度568℃。</w:t>
            </w:r>
          </w:p>
        </w:tc>
        <w:tc>
          <w:tcPr>
            <w:tcW w:w="1650" w:type="dxa"/>
            <w:vAlign w:val="center"/>
          </w:tcPr>
          <w:p>
            <w:pPr>
              <w:pStyle w:val="20"/>
              <w:spacing w:line="360" w:lineRule="auto"/>
              <w:ind w:firstLine="0" w:firstLineChars="0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P91,323×25</w:t>
            </w:r>
          </w:p>
        </w:tc>
        <w:tc>
          <w:tcPr>
            <w:tcW w:w="169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韩国三信闸阀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80" w:type="dxa"/>
            <w:vAlign w:val="center"/>
          </w:tcPr>
          <w:p>
            <w:pPr>
              <w:pStyle w:val="20"/>
              <w:numPr>
                <w:ilvl w:val="0"/>
                <w:numId w:val="2"/>
              </w:numPr>
              <w:spacing w:line="360" w:lineRule="auto"/>
              <w:ind w:left="0" w:firstLine="0" w:firstLineChars="0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776" w:type="dxa"/>
            <w:vAlign w:val="center"/>
          </w:tcPr>
          <w:p>
            <w:pPr>
              <w:pStyle w:val="20"/>
              <w:spacing w:line="360" w:lineRule="auto"/>
              <w:ind w:firstLine="0" w:firstLineChars="0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热再主蒸汽闸阀</w:t>
            </w:r>
          </w:p>
        </w:tc>
        <w:tc>
          <w:tcPr>
            <w:tcW w:w="3085" w:type="dxa"/>
            <w:vAlign w:val="center"/>
          </w:tcPr>
          <w:p>
            <w:pPr>
              <w:pStyle w:val="20"/>
              <w:spacing w:line="360" w:lineRule="auto"/>
              <w:ind w:firstLine="0" w:firstLineChars="0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阀门型号20",600# C12A W-GATE PS BW MO使用压力11.23MPa,温度568℃。</w:t>
            </w:r>
          </w:p>
        </w:tc>
        <w:tc>
          <w:tcPr>
            <w:tcW w:w="1650" w:type="dxa"/>
            <w:vAlign w:val="center"/>
          </w:tcPr>
          <w:p>
            <w:pPr>
              <w:pStyle w:val="20"/>
              <w:spacing w:line="360" w:lineRule="auto"/>
              <w:ind w:firstLine="0" w:firstLineChars="0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P91,Ø470*16</w:t>
            </w:r>
          </w:p>
        </w:tc>
        <w:tc>
          <w:tcPr>
            <w:tcW w:w="169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韩国三信闸阀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80" w:type="dxa"/>
            <w:vAlign w:val="center"/>
          </w:tcPr>
          <w:p>
            <w:pPr>
              <w:pStyle w:val="20"/>
              <w:numPr>
                <w:ilvl w:val="0"/>
                <w:numId w:val="2"/>
              </w:numPr>
              <w:spacing w:line="360" w:lineRule="auto"/>
              <w:ind w:left="0" w:firstLine="0" w:firstLineChars="0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776" w:type="dxa"/>
            <w:vAlign w:val="center"/>
          </w:tcPr>
          <w:p>
            <w:pPr>
              <w:pStyle w:val="20"/>
              <w:spacing w:line="360" w:lineRule="auto"/>
              <w:ind w:firstLine="0" w:firstLineChars="0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一级再热器入口闸阀</w:t>
            </w:r>
          </w:p>
        </w:tc>
        <w:tc>
          <w:tcPr>
            <w:tcW w:w="3085" w:type="dxa"/>
            <w:vAlign w:val="center"/>
          </w:tcPr>
          <w:p>
            <w:pPr>
              <w:pStyle w:val="20"/>
              <w:spacing w:line="360" w:lineRule="auto"/>
              <w:ind w:firstLine="0" w:firstLineChars="0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阀门型号20",600# WC6 W-GATE PS BW MO使用压力11.23MPa,温度568℃。</w:t>
            </w:r>
          </w:p>
        </w:tc>
        <w:tc>
          <w:tcPr>
            <w:tcW w:w="1650" w:type="dxa"/>
            <w:vAlign w:val="center"/>
          </w:tcPr>
          <w:p>
            <w:pPr>
              <w:pStyle w:val="20"/>
              <w:spacing w:line="360" w:lineRule="auto"/>
              <w:ind w:firstLine="0" w:firstLineChars="0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12Cr1MoVG,Ø508*16</w:t>
            </w:r>
          </w:p>
        </w:tc>
        <w:tc>
          <w:tcPr>
            <w:tcW w:w="169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韩国三信闸阀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80" w:type="dxa"/>
            <w:vAlign w:val="center"/>
          </w:tcPr>
          <w:p>
            <w:pPr>
              <w:pStyle w:val="20"/>
              <w:numPr>
                <w:ilvl w:val="0"/>
                <w:numId w:val="2"/>
              </w:numPr>
              <w:spacing w:line="360" w:lineRule="auto"/>
              <w:ind w:left="0" w:firstLine="0" w:firstLineChars="0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776" w:type="dxa"/>
            <w:vAlign w:val="center"/>
          </w:tcPr>
          <w:p>
            <w:pPr>
              <w:pStyle w:val="20"/>
              <w:spacing w:line="360" w:lineRule="auto"/>
              <w:ind w:firstLine="0" w:firstLineChars="0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高压主蒸汽电动执行器</w:t>
            </w:r>
          </w:p>
        </w:tc>
        <w:tc>
          <w:tcPr>
            <w:tcW w:w="3085" w:type="dxa"/>
            <w:vAlign w:val="center"/>
          </w:tcPr>
          <w:p>
            <w:pPr>
              <w:pStyle w:val="20"/>
              <w:spacing w:line="360" w:lineRule="auto"/>
              <w:ind w:firstLine="0" w:firstLineChars="0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BD60-ⅡC-F-620一体式，多回转</w:t>
            </w:r>
          </w:p>
        </w:tc>
        <w:tc>
          <w:tcPr>
            <w:tcW w:w="1650" w:type="dxa"/>
            <w:vAlign w:val="center"/>
          </w:tcPr>
          <w:p>
            <w:pPr>
              <w:pStyle w:val="20"/>
              <w:spacing w:line="360" w:lineRule="auto"/>
              <w:ind w:firstLine="0" w:firstLineChars="0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/</w:t>
            </w:r>
          </w:p>
        </w:tc>
        <w:tc>
          <w:tcPr>
            <w:tcW w:w="169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680" w:type="dxa"/>
            <w:vAlign w:val="center"/>
          </w:tcPr>
          <w:p>
            <w:pPr>
              <w:pStyle w:val="20"/>
              <w:numPr>
                <w:ilvl w:val="0"/>
                <w:numId w:val="2"/>
              </w:numPr>
              <w:spacing w:line="360" w:lineRule="auto"/>
              <w:ind w:left="0" w:firstLine="0" w:firstLineChars="0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776" w:type="dxa"/>
            <w:vAlign w:val="center"/>
          </w:tcPr>
          <w:p>
            <w:pPr>
              <w:pStyle w:val="20"/>
              <w:spacing w:line="360" w:lineRule="auto"/>
              <w:ind w:firstLine="0" w:firstLineChars="0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热再主蒸汽电动执行器</w:t>
            </w:r>
          </w:p>
        </w:tc>
        <w:tc>
          <w:tcPr>
            <w:tcW w:w="3085" w:type="dxa"/>
            <w:vAlign w:val="center"/>
          </w:tcPr>
          <w:p>
            <w:pPr>
              <w:pStyle w:val="20"/>
              <w:spacing w:line="360" w:lineRule="auto"/>
              <w:ind w:firstLine="0" w:firstLineChars="0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BD60-ⅡC-F-620一体式，多回转</w:t>
            </w:r>
          </w:p>
        </w:tc>
        <w:tc>
          <w:tcPr>
            <w:tcW w:w="1650" w:type="dxa"/>
            <w:vAlign w:val="center"/>
          </w:tcPr>
          <w:p>
            <w:pPr>
              <w:pStyle w:val="20"/>
              <w:spacing w:line="360" w:lineRule="auto"/>
              <w:ind w:firstLine="0" w:firstLineChars="0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/</w:t>
            </w:r>
          </w:p>
        </w:tc>
        <w:tc>
          <w:tcPr>
            <w:tcW w:w="169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0" w:type="dxa"/>
            <w:vAlign w:val="center"/>
          </w:tcPr>
          <w:p>
            <w:pPr>
              <w:pStyle w:val="20"/>
              <w:numPr>
                <w:ilvl w:val="0"/>
                <w:numId w:val="2"/>
              </w:numPr>
              <w:spacing w:line="360" w:lineRule="auto"/>
              <w:ind w:left="0" w:firstLine="0" w:firstLineChars="0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776" w:type="dxa"/>
            <w:vAlign w:val="center"/>
          </w:tcPr>
          <w:p>
            <w:pPr>
              <w:pStyle w:val="20"/>
              <w:spacing w:line="360" w:lineRule="auto"/>
              <w:ind w:firstLine="0" w:firstLineChars="0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一级再热器入口电动执行器</w:t>
            </w:r>
          </w:p>
        </w:tc>
        <w:tc>
          <w:tcPr>
            <w:tcW w:w="3085" w:type="dxa"/>
            <w:vAlign w:val="center"/>
          </w:tcPr>
          <w:p>
            <w:pPr>
              <w:pStyle w:val="20"/>
              <w:spacing w:line="360" w:lineRule="auto"/>
              <w:ind w:firstLine="0" w:firstLineChars="0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BD60-ⅡC-F-620一体式，多回转</w:t>
            </w:r>
          </w:p>
        </w:tc>
        <w:tc>
          <w:tcPr>
            <w:tcW w:w="1650" w:type="dxa"/>
            <w:vAlign w:val="center"/>
          </w:tcPr>
          <w:p>
            <w:pPr>
              <w:pStyle w:val="20"/>
              <w:spacing w:line="360" w:lineRule="auto"/>
              <w:ind w:firstLine="0" w:firstLineChars="0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/</w:t>
            </w:r>
          </w:p>
        </w:tc>
        <w:tc>
          <w:tcPr>
            <w:tcW w:w="169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</w:tbl>
    <w:p>
      <w:pPr>
        <w:pStyle w:val="2"/>
        <w:numPr>
          <w:ilvl w:val="0"/>
          <w:numId w:val="1"/>
        </w:numPr>
        <w:spacing w:before="0" w:after="0" w:line="360" w:lineRule="auto"/>
        <w:ind w:left="482" w:hanging="482" w:hangingChars="200"/>
        <w:rPr>
          <w:sz w:val="24"/>
          <w:szCs w:val="24"/>
        </w:rPr>
      </w:pPr>
      <w:bookmarkStart w:id="4" w:name="_Toc789"/>
      <w:bookmarkStart w:id="5" w:name="_Toc17582025"/>
      <w:r>
        <w:rPr>
          <w:rFonts w:hint="eastAsia"/>
          <w:sz w:val="24"/>
          <w:szCs w:val="24"/>
        </w:rPr>
        <w:t>工作内容</w:t>
      </w:r>
      <w:bookmarkEnd w:id="4"/>
      <w:bookmarkEnd w:id="5"/>
    </w:p>
    <w:p>
      <w:pPr>
        <w:pStyle w:val="20"/>
        <w:tabs>
          <w:tab w:val="left" w:pos="420"/>
        </w:tabs>
        <w:spacing w:line="360" w:lineRule="auto"/>
        <w:ind w:firstLine="0" w:firstLineChars="0"/>
        <w:jc w:val="left"/>
        <w:rPr>
          <w:rFonts w:asciiTheme="minorEastAsia" w:hAnsiTheme="minorEastAsia" w:cstheme="minorEastAsia"/>
          <w:b/>
          <w:bCs/>
          <w:sz w:val="24"/>
          <w:szCs w:val="24"/>
        </w:rPr>
      </w:pPr>
      <w:bookmarkStart w:id="6" w:name="_Toc17582026"/>
      <w:r>
        <w:rPr>
          <w:rFonts w:hint="eastAsia" w:asciiTheme="minorEastAsia" w:hAnsiTheme="minorEastAsia" w:cstheme="minorEastAsia"/>
          <w:b/>
          <w:bCs/>
          <w:sz w:val="24"/>
          <w:szCs w:val="24"/>
        </w:rPr>
        <w:t>1.主要工程量如下：</w:t>
      </w:r>
    </w:p>
    <w:tbl>
      <w:tblPr>
        <w:tblStyle w:val="16"/>
        <w:tblW w:w="9079" w:type="dxa"/>
        <w:jc w:val="center"/>
        <w:tblInd w:w="-273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3"/>
        <w:gridCol w:w="1559"/>
        <w:gridCol w:w="2977"/>
        <w:gridCol w:w="983"/>
        <w:gridCol w:w="916"/>
        <w:gridCol w:w="1651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  <w:jc w:val="center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序号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ind w:firstLine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项目名称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特征描述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单位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数量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0"/>
              <w:numPr>
                <w:ilvl w:val="0"/>
                <w:numId w:val="3"/>
              </w:numPr>
              <w:spacing w:line="360" w:lineRule="auto"/>
              <w:ind w:firstLineChars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截止阀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[项目特征]</w:t>
            </w:r>
            <w:r>
              <w:rPr>
                <w:rFonts w:hint="eastAsia" w:ascii="宋体" w:hAnsi="宋体"/>
                <w:sz w:val="24"/>
                <w:szCs w:val="24"/>
                <w:highlight w:val="none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1.阀门尺寸:通径DN25，F91阀体</w:t>
            </w:r>
            <w:r>
              <w:rPr>
                <w:rFonts w:hint="eastAsia" w:ascii="宋体" w:hAnsi="宋体"/>
                <w:sz w:val="24"/>
                <w:szCs w:val="24"/>
                <w:highlight w:val="none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2.使用参数:蒸汽使用，设计压力12.05MPa，设计温度：575℃。</w:t>
            </w:r>
            <w:r>
              <w:rPr>
                <w:rFonts w:hint="eastAsia" w:ascii="宋体" w:hAnsi="宋体"/>
                <w:sz w:val="24"/>
                <w:szCs w:val="24"/>
                <w:highlight w:val="none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3.连接方式:焊接</w:t>
            </w:r>
          </w:p>
          <w:p>
            <w:pPr>
              <w:rPr>
                <w:rFonts w:ascii="宋体" w:hAnsi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[工程内容]</w:t>
            </w:r>
            <w:r>
              <w:rPr>
                <w:rFonts w:hint="eastAsia" w:ascii="宋体" w:hAnsi="宋体"/>
                <w:sz w:val="24"/>
                <w:szCs w:val="24"/>
                <w:highlight w:val="none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1.安装</w:t>
            </w:r>
            <w:r>
              <w:rPr>
                <w:rFonts w:hint="eastAsia" w:ascii="宋体" w:hAnsi="宋体"/>
                <w:sz w:val="24"/>
                <w:szCs w:val="24"/>
                <w:highlight w:val="none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2.焊缝探伤和热处理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个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3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ascii="宋体" w:hAnsi="宋体"/>
                <w:szCs w:val="21"/>
                <w:highlight w:val="none"/>
              </w:rPr>
              <w:t>甲供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1" w:hRule="atLeast"/>
          <w:jc w:val="center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0"/>
              <w:numPr>
                <w:ilvl w:val="0"/>
                <w:numId w:val="3"/>
              </w:numPr>
              <w:spacing w:line="360" w:lineRule="auto"/>
              <w:ind w:firstLineChars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电动执行器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[项目特征]</w:t>
            </w:r>
            <w:r>
              <w:rPr>
                <w:rFonts w:hint="eastAsia" w:ascii="宋体" w:hAnsi="宋体"/>
                <w:sz w:val="24"/>
                <w:szCs w:val="24"/>
                <w:highlight w:val="none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1.使用参数:蒸汽使用，设计压力12.05MPa，设计温度：575℃。</w:t>
            </w:r>
          </w:p>
          <w:p>
            <w:pPr>
              <w:jc w:val="left"/>
              <w:rPr>
                <w:rFonts w:ascii="宋体" w:hAnsi="宋体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[工程内容]</w:t>
            </w:r>
            <w:r>
              <w:rPr>
                <w:rFonts w:hint="eastAsia" w:ascii="宋体" w:hAnsi="宋体"/>
                <w:sz w:val="24"/>
                <w:szCs w:val="24"/>
                <w:highlight w:val="none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1.安装</w:t>
            </w:r>
            <w:r>
              <w:rPr>
                <w:rFonts w:hint="eastAsia" w:ascii="宋体" w:hAnsi="宋体"/>
                <w:sz w:val="24"/>
                <w:szCs w:val="24"/>
                <w:highlight w:val="none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2.调试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  <w:highlight w:val="none"/>
                <w:vertAlign w:val="superscript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个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3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Theme="minorEastAsia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甲供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  <w:jc w:val="center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0"/>
              <w:numPr>
                <w:ilvl w:val="0"/>
                <w:numId w:val="3"/>
              </w:numPr>
              <w:ind w:firstLineChars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管道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[项目特征]</w:t>
            </w:r>
            <w:r>
              <w:rPr>
                <w:rFonts w:hint="eastAsia" w:ascii="宋体" w:hAnsi="宋体"/>
                <w:sz w:val="24"/>
                <w:szCs w:val="24"/>
                <w:highlight w:val="none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规格: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Ф32×5材质P91</w:t>
            </w:r>
          </w:p>
          <w:p>
            <w:pPr>
              <w:rPr>
                <w:rFonts w:ascii="宋体" w:hAnsi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[工程内容]</w:t>
            </w:r>
          </w:p>
          <w:p>
            <w:pPr>
              <w:numPr>
                <w:ilvl w:val="0"/>
                <w:numId w:val="4"/>
              </w:numPr>
              <w:rPr>
                <w:rFonts w:ascii="宋体" w:hAnsi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安装</w:t>
            </w:r>
          </w:p>
          <w:p>
            <w:pPr>
              <w:numPr>
                <w:ilvl w:val="0"/>
                <w:numId w:val="4"/>
              </w:numPr>
              <w:rPr>
                <w:rFonts w:ascii="宋体" w:hAnsi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焊缝探伤和热处理</w:t>
            </w:r>
          </w:p>
          <w:p>
            <w:pPr>
              <w:numPr>
                <w:ilvl w:val="0"/>
                <w:numId w:val="4"/>
              </w:numPr>
              <w:rPr>
                <w:rFonts w:ascii="宋体" w:hAnsi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保温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米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24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  <w:highlight w:val="none"/>
              </w:rPr>
            </w:pPr>
            <w:r>
              <w:rPr>
                <w:rFonts w:ascii="宋体" w:hAnsi="宋体"/>
                <w:szCs w:val="21"/>
                <w:highlight w:val="none"/>
              </w:rPr>
              <w:t>甲供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  <w:jc w:val="center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0"/>
              <w:numPr>
                <w:ilvl w:val="0"/>
                <w:numId w:val="3"/>
              </w:numPr>
              <w:ind w:firstLineChars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管道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[项目特征]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规格: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Ф32×5材质材质12Cr1MoVG</w:t>
            </w:r>
          </w:p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[工程内容]</w:t>
            </w:r>
          </w:p>
          <w:p>
            <w:pPr>
              <w:numPr>
                <w:ilvl w:val="0"/>
                <w:numId w:val="5"/>
              </w:num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安装</w:t>
            </w:r>
          </w:p>
          <w:p>
            <w:pPr>
              <w:numPr>
                <w:ilvl w:val="0"/>
                <w:numId w:val="5"/>
              </w:num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焊缝探伤和热处理</w:t>
            </w:r>
          </w:p>
          <w:p>
            <w:pPr>
              <w:numPr>
                <w:ilvl w:val="0"/>
                <w:numId w:val="5"/>
              </w:num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保温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米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12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  <w:jc w:val="center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0"/>
              <w:numPr>
                <w:ilvl w:val="0"/>
                <w:numId w:val="3"/>
              </w:numPr>
              <w:ind w:firstLineChars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弯头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[项目特征]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规格: 90°弯头，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Ф32×5材质P91，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工作管R=1.5D 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[工程内容]</w:t>
            </w:r>
          </w:p>
          <w:p>
            <w:pPr>
              <w:numPr>
                <w:ilvl w:val="0"/>
                <w:numId w:val="6"/>
              </w:num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安装</w:t>
            </w:r>
          </w:p>
          <w:p>
            <w:pPr>
              <w:numPr>
                <w:ilvl w:val="0"/>
                <w:numId w:val="6"/>
              </w:num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焊缝探伤和热处理</w:t>
            </w:r>
          </w:p>
          <w:p>
            <w:pPr>
              <w:numPr>
                <w:ilvl w:val="0"/>
                <w:numId w:val="6"/>
              </w:num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保温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个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10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Cs w:val="21"/>
                <w:highlight w:val="none"/>
              </w:rPr>
              <w:t>甲供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  <w:jc w:val="center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0"/>
              <w:numPr>
                <w:ilvl w:val="0"/>
                <w:numId w:val="3"/>
              </w:numPr>
              <w:ind w:firstLineChars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弯头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[项目特征]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规格: 90°弯头，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Ф32×5材质12Cr1MoVG，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工作管R=1.5D 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[工程内容]</w:t>
            </w:r>
          </w:p>
          <w:p>
            <w:pPr>
              <w:numPr>
                <w:ilvl w:val="0"/>
                <w:numId w:val="7"/>
              </w:num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安装</w:t>
            </w:r>
          </w:p>
          <w:p>
            <w:pPr>
              <w:numPr>
                <w:ilvl w:val="0"/>
                <w:numId w:val="7"/>
              </w:num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焊缝探伤和热处理</w:t>
            </w:r>
          </w:p>
          <w:p>
            <w:pPr>
              <w:numPr>
                <w:ilvl w:val="0"/>
                <w:numId w:val="7"/>
              </w:num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保温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个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4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0"/>
              <w:numPr>
                <w:ilvl w:val="0"/>
                <w:numId w:val="3"/>
              </w:numPr>
              <w:ind w:firstLineChars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接管座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[项目特征]</w:t>
            </w:r>
          </w:p>
          <w:p>
            <w:pP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规格: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Ф52×15变Ф32×5材质P91</w:t>
            </w:r>
          </w:p>
          <w:p>
            <w:pPr>
              <w:rPr>
                <w:rFonts w:ascii="宋体" w:hAnsi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[工程内容]</w:t>
            </w:r>
          </w:p>
          <w:p>
            <w:pPr>
              <w:widowControl/>
              <w:numPr>
                <w:ilvl w:val="0"/>
                <w:numId w:val="8"/>
              </w:numPr>
              <w:rPr>
                <w:rFonts w:ascii="宋体" w:hAnsi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安装</w:t>
            </w:r>
          </w:p>
          <w:p>
            <w:pPr>
              <w:widowControl/>
              <w:numPr>
                <w:ilvl w:val="0"/>
                <w:numId w:val="8"/>
              </w:numPr>
              <w:rPr>
                <w:rFonts w:ascii="宋体" w:hAnsi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焊缝探伤和热处理</w:t>
            </w:r>
          </w:p>
          <w:p>
            <w:pPr>
              <w:widowControl/>
              <w:numPr>
                <w:ilvl w:val="0"/>
                <w:numId w:val="8"/>
              </w:numPr>
              <w:rPr>
                <w:rFonts w:ascii="宋体" w:hAnsi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保温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个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5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甲供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1" w:hRule="atLeast"/>
          <w:jc w:val="center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0"/>
              <w:numPr>
                <w:ilvl w:val="0"/>
                <w:numId w:val="3"/>
              </w:numPr>
              <w:ind w:firstLineChars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接管座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[项目特征]</w:t>
            </w:r>
          </w:p>
          <w:p>
            <w:pP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规格: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Ф52×15变Ф32×5材质12Cr1MoVG</w:t>
            </w:r>
          </w:p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[工程内容]</w:t>
            </w:r>
          </w:p>
          <w:p>
            <w:pPr>
              <w:widowControl/>
              <w:numPr>
                <w:ilvl w:val="0"/>
                <w:numId w:val="9"/>
              </w:num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安装</w:t>
            </w:r>
          </w:p>
          <w:p>
            <w:pPr>
              <w:widowControl/>
              <w:numPr>
                <w:ilvl w:val="0"/>
                <w:numId w:val="9"/>
              </w:numP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焊缝探伤和热处理</w:t>
            </w:r>
          </w:p>
          <w:p>
            <w:pPr>
              <w:widowControl/>
              <w:numPr>
                <w:ilvl w:val="0"/>
                <w:numId w:val="9"/>
              </w:numP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保温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个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0"/>
              <w:numPr>
                <w:ilvl w:val="0"/>
                <w:numId w:val="3"/>
              </w:numPr>
              <w:ind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钢支架制作、安装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[项目特征]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1.支架材质:Q235B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2.支架形式:钢支座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[工程内容]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1.支架制作、安装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2.防腐、刷漆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  <w:jc w:val="center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0"/>
              <w:numPr>
                <w:ilvl w:val="0"/>
                <w:numId w:val="3"/>
              </w:numPr>
              <w:ind w:firstLineChars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管道保温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[项目特征]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1.绝热材料品种:硅酸铝纤维毡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2.绝热厚度:≥100mm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[工程内容]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1.安装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m</w:t>
            </w:r>
            <w:r>
              <w:rPr>
                <w:rFonts w:hint="eastAsia" w:ascii="宋体" w:hAnsi="宋体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6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jc w:val="center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0"/>
              <w:numPr>
                <w:ilvl w:val="0"/>
                <w:numId w:val="3"/>
              </w:numPr>
              <w:ind w:firstLineChars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保温外护皮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[项目特征]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1.材质:氟碳烤漆板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2.规格:δ=0.5mm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[工程内容]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1.彩钢板保护壳制作、安装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m</w:t>
            </w:r>
            <w:r>
              <w:rPr>
                <w:rFonts w:hint="eastAsia" w:ascii="宋体" w:hAnsi="宋体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8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0"/>
              <w:numPr>
                <w:ilvl w:val="0"/>
                <w:numId w:val="3"/>
              </w:numPr>
              <w:ind w:firstLineChars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脚手架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搭设及拆卸脚手架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m</w:t>
            </w:r>
            <w:r>
              <w:rPr>
                <w:rFonts w:hint="eastAsia" w:ascii="宋体" w:hAnsi="宋体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100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  <w:jc w:val="center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0"/>
              <w:numPr>
                <w:ilvl w:val="0"/>
                <w:numId w:val="3"/>
              </w:numPr>
              <w:ind w:firstLineChars="0"/>
              <w:jc w:val="center"/>
              <w:rPr>
                <w:rFonts w:ascii="宋体" w:hAnsi="宋体"/>
                <w:sz w:val="24"/>
                <w:szCs w:val="24"/>
                <w:highlight w:val="none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DI卡件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艾默生卡件</w:t>
            </w:r>
          </w:p>
          <w:p>
            <w:pPr>
              <w:rPr>
                <w:rFonts w:ascii="宋体" w:hAnsi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型号：1C31234G01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块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  <w:highlight w:val="yellow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  <w:jc w:val="center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0"/>
              <w:numPr>
                <w:ilvl w:val="0"/>
                <w:numId w:val="3"/>
              </w:numPr>
              <w:spacing w:line="360" w:lineRule="auto"/>
              <w:ind w:firstLineChars="0"/>
              <w:jc w:val="center"/>
              <w:rPr>
                <w:rFonts w:ascii="宋体" w:hAnsi="宋体"/>
                <w:sz w:val="24"/>
                <w:szCs w:val="24"/>
                <w:highlight w:val="none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阻燃电力电缆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[项目特征]</w:t>
            </w:r>
            <w:r>
              <w:rPr>
                <w:rFonts w:hint="eastAsia" w:ascii="宋体" w:hAnsi="宋体"/>
                <w:sz w:val="24"/>
                <w:szCs w:val="24"/>
                <w:highlight w:val="none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1.</w:t>
            </w:r>
            <w:r>
              <w:rPr>
                <w:rFonts w:ascii="宋体" w:hAnsi="宋体"/>
                <w:sz w:val="24"/>
                <w:szCs w:val="24"/>
                <w:highlight w:val="none"/>
              </w:rPr>
              <w:t>ZR-YJV 4</w:t>
            </w: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×</w:t>
            </w:r>
            <w:r>
              <w:rPr>
                <w:rFonts w:ascii="宋体" w:hAnsi="宋体"/>
                <w:sz w:val="24"/>
                <w:szCs w:val="24"/>
                <w:highlight w:val="none"/>
              </w:rPr>
              <w:t>2.5mm2</w:t>
            </w:r>
            <w:r>
              <w:rPr>
                <w:rFonts w:hint="eastAsia" w:ascii="宋体" w:hAnsi="宋体"/>
                <w:sz w:val="24"/>
                <w:szCs w:val="24"/>
                <w:highlight w:val="none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[工程内容]</w:t>
            </w:r>
            <w:r>
              <w:rPr>
                <w:rFonts w:hint="eastAsia" w:ascii="宋体" w:hAnsi="宋体"/>
                <w:sz w:val="24"/>
                <w:szCs w:val="24"/>
                <w:highlight w:val="none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1.敷设</w:t>
            </w:r>
          </w:p>
          <w:p>
            <w:pPr>
              <w:rPr>
                <w:rFonts w:ascii="宋体" w:hAnsi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2. 防火封堵、检测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米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600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  <w:highlight w:val="yellow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  <w:jc w:val="center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0"/>
              <w:numPr>
                <w:ilvl w:val="0"/>
                <w:numId w:val="3"/>
              </w:numPr>
              <w:spacing w:line="360" w:lineRule="auto"/>
              <w:ind w:firstLineChars="0"/>
              <w:jc w:val="center"/>
              <w:rPr>
                <w:rFonts w:ascii="宋体" w:hAnsi="宋体"/>
                <w:sz w:val="24"/>
                <w:szCs w:val="24"/>
                <w:highlight w:val="none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控制电缆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[项目特征]</w:t>
            </w:r>
            <w:r>
              <w:rPr>
                <w:rFonts w:hint="eastAsia" w:ascii="宋体" w:hAnsi="宋体"/>
                <w:sz w:val="24"/>
                <w:szCs w:val="24"/>
                <w:highlight w:val="none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1.</w:t>
            </w:r>
            <w:r>
              <w:rPr>
                <w:rFonts w:ascii="宋体" w:hAnsi="宋体"/>
                <w:sz w:val="24"/>
                <w:szCs w:val="24"/>
                <w:highlight w:val="none"/>
              </w:rPr>
              <w:t xml:space="preserve">ZR-KVVP </w:t>
            </w: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10×</w:t>
            </w:r>
            <w:r>
              <w:rPr>
                <w:rFonts w:ascii="宋体" w:hAnsi="宋体"/>
                <w:sz w:val="24"/>
                <w:szCs w:val="24"/>
                <w:highlight w:val="none"/>
              </w:rPr>
              <w:t>1.5mm²</w:t>
            </w:r>
            <w:r>
              <w:rPr>
                <w:rFonts w:hint="eastAsia" w:ascii="宋体" w:hAnsi="宋体"/>
                <w:sz w:val="24"/>
                <w:szCs w:val="24"/>
                <w:highlight w:val="none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[工程内容]</w:t>
            </w:r>
            <w:r>
              <w:rPr>
                <w:rFonts w:hint="eastAsia" w:ascii="宋体" w:hAnsi="宋体"/>
                <w:sz w:val="24"/>
                <w:szCs w:val="24"/>
                <w:highlight w:val="none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1.敷设</w:t>
            </w:r>
          </w:p>
          <w:p>
            <w:pPr>
              <w:rPr>
                <w:rFonts w:ascii="宋体" w:hAnsi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2. 防火封堵、检测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米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1200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  <w:highlight w:val="yellow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8" w:hRule="atLeast"/>
          <w:jc w:val="center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0"/>
              <w:numPr>
                <w:ilvl w:val="0"/>
                <w:numId w:val="3"/>
              </w:numPr>
              <w:spacing w:line="360" w:lineRule="auto"/>
              <w:ind w:firstLineChars="0"/>
              <w:jc w:val="center"/>
              <w:rPr>
                <w:rFonts w:ascii="宋体" w:hAnsi="宋体"/>
                <w:sz w:val="24"/>
                <w:szCs w:val="24"/>
                <w:highlight w:val="none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电热辅料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1.20A电源空开  数量：3个</w:t>
            </w:r>
          </w:p>
          <w:p>
            <w:pPr>
              <w:numPr>
                <w:ilvl w:val="0"/>
                <w:numId w:val="10"/>
              </w:numPr>
              <w:rPr>
                <w:rFonts w:ascii="宋体" w:hAnsi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套管接头    数量：20个</w:t>
            </w:r>
          </w:p>
          <w:p>
            <w:pPr>
              <w:numPr>
                <w:ilvl w:val="0"/>
                <w:numId w:val="10"/>
              </w:numPr>
              <w:jc w:val="left"/>
              <w:rPr>
                <w:rFonts w:ascii="宋体" w:hAnsi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铁镀锌电缆桥架100*100mm 数量：20米</w:t>
            </w:r>
          </w:p>
          <w:p>
            <w:pPr>
              <w:numPr>
                <w:ilvl w:val="0"/>
                <w:numId w:val="10"/>
              </w:numPr>
              <w:rPr>
                <w:rFonts w:ascii="宋体" w:hAnsi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其他角铁、防火泥、扎带等安装、接线、封堵辅材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项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  <w:highlight w:val="yellow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  <w:jc w:val="center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0"/>
              <w:numPr>
                <w:ilvl w:val="0"/>
                <w:numId w:val="3"/>
              </w:numPr>
              <w:spacing w:line="360" w:lineRule="auto"/>
              <w:ind w:firstLineChars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其他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ind w:firstLine="42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格栅板平台整改，原平台1*1*1.5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处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</w:tbl>
    <w:p>
      <w:pPr>
        <w:pStyle w:val="2"/>
        <w:numPr>
          <w:ilvl w:val="0"/>
          <w:numId w:val="1"/>
        </w:numPr>
        <w:spacing w:before="0" w:after="0" w:line="360" w:lineRule="auto"/>
        <w:ind w:left="482" w:hanging="482" w:hangingChars="200"/>
        <w:rPr>
          <w:sz w:val="24"/>
          <w:szCs w:val="24"/>
        </w:rPr>
      </w:pPr>
      <w:bookmarkStart w:id="7" w:name="_Toc14094"/>
      <w:r>
        <w:rPr>
          <w:rFonts w:hint="eastAsia"/>
          <w:sz w:val="24"/>
          <w:szCs w:val="24"/>
        </w:rPr>
        <w:t>工作要求</w:t>
      </w:r>
      <w:bookmarkEnd w:id="7"/>
    </w:p>
    <w:p>
      <w:pPr>
        <w:pStyle w:val="20"/>
        <w:numPr>
          <w:ilvl w:val="0"/>
          <w:numId w:val="11"/>
        </w:numPr>
        <w:spacing w:line="360" w:lineRule="auto"/>
        <w:ind w:firstLineChars="0"/>
        <w:rPr>
          <w:kern w:val="44"/>
          <w:sz w:val="24"/>
          <w:szCs w:val="24"/>
        </w:rPr>
      </w:pPr>
      <w:r>
        <w:rPr>
          <w:rFonts w:hint="eastAsia"/>
          <w:kern w:val="44"/>
          <w:sz w:val="24"/>
          <w:szCs w:val="24"/>
        </w:rPr>
        <w:t>本项目采用包工包料形式</w:t>
      </w:r>
      <w:r>
        <w:rPr>
          <w:rFonts w:hint="eastAsia"/>
          <w:kern w:val="44"/>
          <w:sz w:val="24"/>
          <w:szCs w:val="24"/>
          <w:lang w:eastAsia="zh-CN"/>
        </w:rPr>
        <w:t>（</w:t>
      </w:r>
      <w:r>
        <w:rPr>
          <w:rFonts w:hint="eastAsia"/>
          <w:kern w:val="44"/>
          <w:sz w:val="24"/>
          <w:szCs w:val="24"/>
          <w:lang w:val="en-US" w:eastAsia="zh-CN"/>
        </w:rPr>
        <w:t>除上述表中甲供材外</w:t>
      </w:r>
      <w:r>
        <w:rPr>
          <w:rFonts w:hint="eastAsia"/>
          <w:kern w:val="44"/>
          <w:sz w:val="24"/>
          <w:szCs w:val="24"/>
          <w:lang w:eastAsia="zh-CN"/>
        </w:rPr>
        <w:t>）</w:t>
      </w:r>
      <w:r>
        <w:rPr>
          <w:rFonts w:hint="eastAsia"/>
          <w:kern w:val="44"/>
          <w:sz w:val="24"/>
          <w:szCs w:val="24"/>
        </w:rPr>
        <w:t>，供应商必须保证材料、设备质量</w:t>
      </w:r>
      <w:r>
        <w:rPr>
          <w:rFonts w:hint="eastAsia"/>
          <w:kern w:val="44"/>
          <w:sz w:val="24"/>
          <w:szCs w:val="24"/>
          <w:lang w:eastAsia="zh-CN"/>
        </w:rPr>
        <w:t>，</w:t>
      </w:r>
      <w:r>
        <w:rPr>
          <w:rFonts w:hint="eastAsia"/>
          <w:kern w:val="44"/>
          <w:sz w:val="24"/>
          <w:szCs w:val="24"/>
        </w:rPr>
        <w:t>提供</w:t>
      </w:r>
      <w:r>
        <w:rPr>
          <w:rFonts w:hint="eastAsia"/>
          <w:kern w:val="44"/>
          <w:sz w:val="24"/>
          <w:szCs w:val="24"/>
          <w:lang w:val="en-US" w:eastAsia="zh-CN"/>
        </w:rPr>
        <w:t>施工所需</w:t>
      </w:r>
      <w:r>
        <w:rPr>
          <w:rFonts w:hint="eastAsia"/>
          <w:kern w:val="44"/>
          <w:sz w:val="24"/>
          <w:szCs w:val="24"/>
        </w:rPr>
        <w:t>管道、弯头、管接座的质量证明书（包含材料成分、热处理报告、无损检测报告、硬度报告等）。</w:t>
      </w:r>
    </w:p>
    <w:p>
      <w:pPr>
        <w:pStyle w:val="20"/>
        <w:numPr>
          <w:ilvl w:val="0"/>
          <w:numId w:val="11"/>
        </w:numPr>
        <w:spacing w:line="360" w:lineRule="auto"/>
        <w:ind w:firstLineChars="0"/>
        <w:rPr>
          <w:kern w:val="44"/>
          <w:sz w:val="24"/>
          <w:szCs w:val="24"/>
        </w:rPr>
      </w:pPr>
      <w:r>
        <w:rPr>
          <w:rFonts w:hint="eastAsia"/>
          <w:kern w:val="44"/>
          <w:sz w:val="24"/>
          <w:szCs w:val="24"/>
        </w:rPr>
        <w:t>技术要求：</w:t>
      </w:r>
    </w:p>
    <w:p>
      <w:pPr>
        <w:pStyle w:val="20"/>
        <w:numPr>
          <w:ilvl w:val="1"/>
          <w:numId w:val="11"/>
        </w:numPr>
        <w:tabs>
          <w:tab w:val="left" w:pos="420"/>
        </w:tabs>
        <w:spacing w:line="360" w:lineRule="auto"/>
        <w:ind w:firstLineChars="0"/>
        <w:rPr>
          <w:rFonts w:ascii="宋体" w:cs="宋体"/>
          <w:kern w:val="0"/>
          <w:sz w:val="24"/>
          <w:szCs w:val="24"/>
        </w:rPr>
      </w:pPr>
      <w:r>
        <w:rPr>
          <w:rFonts w:hint="eastAsia" w:ascii="宋体" w:cs="宋体"/>
          <w:kern w:val="0"/>
          <w:sz w:val="24"/>
          <w:szCs w:val="24"/>
        </w:rPr>
        <w:t>按照主蒸汽管道方案图纸，确定开孔位置，做好标记，开孔位置要避开弯头、管道焊缝位置。</w:t>
      </w:r>
    </w:p>
    <w:p>
      <w:pPr>
        <w:pStyle w:val="20"/>
        <w:numPr>
          <w:ilvl w:val="1"/>
          <w:numId w:val="11"/>
        </w:numPr>
        <w:tabs>
          <w:tab w:val="left" w:pos="420"/>
        </w:tabs>
        <w:spacing w:line="360" w:lineRule="auto"/>
        <w:ind w:firstLineChars="0"/>
        <w:rPr>
          <w:rFonts w:ascii="宋体" w:cs="宋体"/>
          <w:kern w:val="0"/>
          <w:sz w:val="24"/>
          <w:szCs w:val="24"/>
        </w:rPr>
      </w:pPr>
      <w:r>
        <w:rPr>
          <w:rFonts w:hint="eastAsia" w:ascii="宋体" w:cs="宋体"/>
          <w:kern w:val="0"/>
          <w:sz w:val="24"/>
          <w:szCs w:val="24"/>
        </w:rPr>
        <w:t>管道开孔和焊接</w:t>
      </w:r>
    </w:p>
    <w:p>
      <w:pPr>
        <w:numPr>
          <w:ilvl w:val="2"/>
          <w:numId w:val="11"/>
        </w:numPr>
        <w:autoSpaceDE w:val="0"/>
        <w:autoSpaceDN w:val="0"/>
        <w:adjustRightInd w:val="0"/>
        <w:spacing w:line="500" w:lineRule="atLeast"/>
        <w:rPr>
          <w:rFonts w:ascii="宋体" w:cs="宋体"/>
          <w:kern w:val="0"/>
          <w:sz w:val="24"/>
          <w:szCs w:val="24"/>
        </w:rPr>
      </w:pPr>
      <w:r>
        <w:rPr>
          <w:rFonts w:hint="eastAsia" w:ascii="宋体" w:cs="宋体"/>
          <w:kern w:val="0"/>
          <w:sz w:val="24"/>
          <w:szCs w:val="24"/>
        </w:rPr>
        <w:t>管道开口坡口形式按MHDB3284-2017管接头</w:t>
      </w:r>
      <w:r>
        <w:rPr>
          <w:rFonts w:hint="eastAsia" w:cs="宋体" w:asciiTheme="minorEastAsia" w:hAnsiTheme="minorEastAsia"/>
          <w:kern w:val="0"/>
          <w:sz w:val="24"/>
          <w:szCs w:val="24"/>
        </w:rPr>
        <w:t>ΙФ</w:t>
      </w:r>
      <w:r>
        <w:rPr>
          <w:rFonts w:hint="eastAsia" w:ascii="宋体" w:cs="宋体"/>
          <w:kern w:val="0"/>
          <w:sz w:val="24"/>
          <w:szCs w:val="24"/>
        </w:rPr>
        <w:t>31.8</w:t>
      </w:r>
      <w:r>
        <w:rPr>
          <w:rFonts w:hint="eastAsia" w:ascii="宋体" w:hAnsi="宋体" w:eastAsia="宋体" w:cs="宋体"/>
          <w:kern w:val="0"/>
          <w:sz w:val="24"/>
          <w:szCs w:val="24"/>
        </w:rPr>
        <w:t>×</w:t>
      </w:r>
      <w:r>
        <w:rPr>
          <w:rFonts w:hint="eastAsia" w:ascii="宋体" w:cs="宋体"/>
          <w:kern w:val="0"/>
          <w:sz w:val="24"/>
          <w:szCs w:val="24"/>
        </w:rPr>
        <w:t>5加工盆型坡口。</w:t>
      </w:r>
    </w:p>
    <w:p>
      <w:pPr>
        <w:numPr>
          <w:ilvl w:val="255"/>
          <w:numId w:val="0"/>
        </w:numPr>
        <w:autoSpaceDE w:val="0"/>
        <w:autoSpaceDN w:val="0"/>
        <w:adjustRightInd w:val="0"/>
        <w:spacing w:line="500" w:lineRule="atLeast"/>
        <w:rPr>
          <w:rFonts w:ascii="宋体" w:cs="宋体"/>
          <w:kern w:val="0"/>
          <w:sz w:val="24"/>
          <w:szCs w:val="24"/>
        </w:rPr>
      </w:pPr>
      <w:r>
        <w:rPr>
          <w:rFonts w:hint="eastAsia" w:ascii="宋体" w:cs="宋体"/>
          <w:kern w:val="0"/>
          <w:sz w:val="24"/>
          <w:szCs w:val="24"/>
        </w:rPr>
        <w:t>砂轮机打磨清理坡口位置及两侧母材20mm范围内铁锈及水分等，使其露出金属光泽。</w:t>
      </w:r>
    </w:p>
    <w:p>
      <w:pPr>
        <w:numPr>
          <w:ilvl w:val="2"/>
          <w:numId w:val="11"/>
        </w:numPr>
        <w:autoSpaceDE w:val="0"/>
        <w:autoSpaceDN w:val="0"/>
        <w:adjustRightInd w:val="0"/>
        <w:spacing w:line="500" w:lineRule="atLeast"/>
        <w:rPr>
          <w:rFonts w:ascii="宋体" w:cs="宋体"/>
          <w:kern w:val="0"/>
          <w:sz w:val="24"/>
          <w:szCs w:val="24"/>
        </w:rPr>
      </w:pPr>
      <w:r>
        <w:rPr>
          <w:rFonts w:hint="eastAsia" w:ascii="宋体" w:cs="宋体"/>
          <w:kern w:val="0"/>
          <w:sz w:val="24"/>
          <w:szCs w:val="24"/>
        </w:rPr>
        <w:t>确认打磨清理后，焊接前预热，筒身+管子采用焊条电弧焊进行焊接，管</w:t>
      </w:r>
    </w:p>
    <w:p>
      <w:pPr>
        <w:numPr>
          <w:ilvl w:val="255"/>
          <w:numId w:val="0"/>
        </w:numPr>
        <w:autoSpaceDE w:val="0"/>
        <w:autoSpaceDN w:val="0"/>
        <w:adjustRightInd w:val="0"/>
        <w:spacing w:line="500" w:lineRule="atLeast"/>
        <w:rPr>
          <w:rFonts w:ascii="宋体" w:cs="宋体"/>
          <w:kern w:val="0"/>
          <w:sz w:val="24"/>
          <w:szCs w:val="24"/>
        </w:rPr>
      </w:pPr>
      <w:r>
        <w:rPr>
          <w:rFonts w:hint="eastAsia" w:ascii="宋体" w:cs="宋体"/>
          <w:kern w:val="0"/>
          <w:sz w:val="24"/>
          <w:szCs w:val="24"/>
        </w:rPr>
        <w:t>道对接采用钨极氩弧焊进行焊接。</w:t>
      </w:r>
    </w:p>
    <w:p>
      <w:pPr>
        <w:numPr>
          <w:ilvl w:val="2"/>
          <w:numId w:val="11"/>
        </w:numPr>
        <w:autoSpaceDE w:val="0"/>
        <w:autoSpaceDN w:val="0"/>
        <w:adjustRightInd w:val="0"/>
        <w:spacing w:line="500" w:lineRule="atLeast"/>
        <w:rPr>
          <w:rFonts w:hint="eastAsia" w:ascii="宋体" w:cs="宋体"/>
          <w:kern w:val="0"/>
          <w:sz w:val="24"/>
          <w:szCs w:val="24"/>
        </w:rPr>
      </w:pPr>
      <w:r>
        <w:rPr>
          <w:rFonts w:hint="eastAsia" w:ascii="宋体" w:cs="宋体"/>
          <w:kern w:val="0"/>
          <w:sz w:val="24"/>
          <w:szCs w:val="24"/>
        </w:rPr>
        <w:t>供应商提交施工方案，包含脚手架搭设、保温安装、焊接工艺卡、热处理</w:t>
      </w:r>
    </w:p>
    <w:p>
      <w:pPr>
        <w:autoSpaceDE w:val="0"/>
        <w:autoSpaceDN w:val="0"/>
        <w:adjustRightInd w:val="0"/>
        <w:spacing w:line="500" w:lineRule="atLeast"/>
        <w:rPr>
          <w:rFonts w:ascii="宋体" w:cs="宋体"/>
          <w:kern w:val="0"/>
          <w:sz w:val="24"/>
          <w:szCs w:val="24"/>
        </w:rPr>
      </w:pPr>
      <w:r>
        <w:rPr>
          <w:rFonts w:hint="eastAsia" w:ascii="宋体" w:cs="宋体"/>
          <w:kern w:val="0"/>
          <w:sz w:val="24"/>
          <w:szCs w:val="24"/>
        </w:rPr>
        <w:t>工艺、无损检测工艺等。</w:t>
      </w:r>
    </w:p>
    <w:p>
      <w:pPr>
        <w:pStyle w:val="20"/>
        <w:numPr>
          <w:ilvl w:val="1"/>
          <w:numId w:val="11"/>
        </w:numPr>
        <w:tabs>
          <w:tab w:val="left" w:pos="420"/>
        </w:tabs>
        <w:autoSpaceDE w:val="0"/>
        <w:autoSpaceDN w:val="0"/>
        <w:adjustRightInd w:val="0"/>
        <w:spacing w:line="360" w:lineRule="auto"/>
        <w:ind w:firstLineChars="0"/>
        <w:rPr>
          <w:rFonts w:ascii="宋体" w:cs="宋体"/>
          <w:kern w:val="0"/>
          <w:sz w:val="24"/>
          <w:szCs w:val="24"/>
        </w:rPr>
      </w:pPr>
      <w:r>
        <w:rPr>
          <w:rFonts w:hint="eastAsia" w:ascii="宋体" w:cs="宋体"/>
          <w:kern w:val="0"/>
          <w:sz w:val="24"/>
          <w:szCs w:val="24"/>
        </w:rPr>
        <w:t>探伤及焊缝热处理要求</w:t>
      </w:r>
    </w:p>
    <w:p>
      <w:pPr>
        <w:pStyle w:val="20"/>
        <w:numPr>
          <w:ilvl w:val="255"/>
          <w:numId w:val="0"/>
        </w:numPr>
        <w:tabs>
          <w:tab w:val="left" w:pos="420"/>
        </w:tabs>
        <w:autoSpaceDE w:val="0"/>
        <w:autoSpaceDN w:val="0"/>
        <w:adjustRightInd w:val="0"/>
        <w:spacing w:line="360" w:lineRule="auto"/>
        <w:rPr>
          <w:rFonts w:ascii="宋体" w:cs="宋体"/>
          <w:kern w:val="0"/>
          <w:sz w:val="24"/>
          <w:szCs w:val="24"/>
        </w:rPr>
      </w:pPr>
      <w:r>
        <w:rPr>
          <w:rFonts w:hint="eastAsia" w:ascii="宋体" w:cs="宋体"/>
          <w:kern w:val="0"/>
          <w:sz w:val="24"/>
          <w:szCs w:val="24"/>
        </w:rPr>
        <w:t>2.3.1焊接完成后对筒身+管子角焊缝进行外观及100%PT检查，对管子+管子对接焊缝进行外观及100%RT检查。</w:t>
      </w:r>
    </w:p>
    <w:p>
      <w:pPr>
        <w:numPr>
          <w:ilvl w:val="255"/>
          <w:numId w:val="0"/>
        </w:numPr>
        <w:autoSpaceDE w:val="0"/>
        <w:autoSpaceDN w:val="0"/>
        <w:adjustRightInd w:val="0"/>
        <w:spacing w:line="500" w:lineRule="atLeast"/>
        <w:rPr>
          <w:rFonts w:ascii="宋体" w:cs="宋体"/>
          <w:kern w:val="0"/>
          <w:sz w:val="24"/>
          <w:szCs w:val="24"/>
        </w:rPr>
      </w:pPr>
      <w:r>
        <w:rPr>
          <w:rFonts w:hint="eastAsia" w:ascii="宋体" w:cs="宋体"/>
          <w:kern w:val="0"/>
          <w:sz w:val="24"/>
          <w:szCs w:val="24"/>
        </w:rPr>
        <w:t>2.3.2对主蒸汽管道和热再主蒸汽管座角焊缝进行热处理，保温温度保持在750</w:t>
      </w:r>
    </w:p>
    <w:p>
      <w:pPr>
        <w:numPr>
          <w:ilvl w:val="255"/>
          <w:numId w:val="0"/>
        </w:numPr>
        <w:autoSpaceDE w:val="0"/>
        <w:autoSpaceDN w:val="0"/>
        <w:adjustRightInd w:val="0"/>
        <w:spacing w:line="500" w:lineRule="atLeast"/>
        <w:rPr>
          <w:rFonts w:ascii="宋体" w:cs="宋体"/>
          <w:kern w:val="0"/>
          <w:sz w:val="24"/>
          <w:szCs w:val="24"/>
        </w:rPr>
      </w:pPr>
      <w:r>
        <w:rPr>
          <w:rFonts w:hint="eastAsia" w:ascii="宋体" w:cs="宋体"/>
          <w:kern w:val="0"/>
          <w:sz w:val="24"/>
          <w:szCs w:val="24"/>
        </w:rPr>
        <w:t>±5℃，保温时间2h，升温速度≤200℃/hr，降温速度≤200℃/h；管子+管子对接焊缝进行热处理，保温温度保持在750±5℃，保温时间1h，升温速度≤200℃/hr，降温速度≤200℃/h。</w:t>
      </w:r>
    </w:p>
    <w:p>
      <w:pPr>
        <w:numPr>
          <w:ilvl w:val="255"/>
          <w:numId w:val="0"/>
        </w:numPr>
        <w:autoSpaceDE w:val="0"/>
        <w:autoSpaceDN w:val="0"/>
        <w:adjustRightInd w:val="0"/>
        <w:spacing w:line="500" w:lineRule="atLeast"/>
        <w:rPr>
          <w:rFonts w:ascii="宋体" w:cs="宋体"/>
          <w:kern w:val="0"/>
          <w:sz w:val="24"/>
          <w:szCs w:val="24"/>
        </w:rPr>
      </w:pPr>
      <w:r>
        <w:rPr>
          <w:rFonts w:hint="eastAsia" w:ascii="宋体" w:cs="宋体"/>
          <w:kern w:val="0"/>
          <w:sz w:val="24"/>
          <w:szCs w:val="24"/>
        </w:rPr>
        <w:t>2.3.3对一级再热器入口管道管座角焊缝和管子对接焊缝进行热处理，保温温</w:t>
      </w:r>
    </w:p>
    <w:p>
      <w:pPr>
        <w:numPr>
          <w:ilvl w:val="255"/>
          <w:numId w:val="0"/>
        </w:numPr>
        <w:autoSpaceDE w:val="0"/>
        <w:autoSpaceDN w:val="0"/>
        <w:adjustRightInd w:val="0"/>
        <w:spacing w:line="500" w:lineRule="atLeast"/>
        <w:rPr>
          <w:rFonts w:ascii="宋体" w:cs="宋体"/>
          <w:kern w:val="0"/>
          <w:sz w:val="24"/>
          <w:szCs w:val="24"/>
        </w:rPr>
      </w:pPr>
      <w:r>
        <w:rPr>
          <w:rFonts w:hint="eastAsia" w:ascii="宋体" w:cs="宋体"/>
          <w:kern w:val="0"/>
          <w:sz w:val="24"/>
          <w:szCs w:val="24"/>
        </w:rPr>
        <w:t>度保持在720±5℃，保温时间1h，升温速度≤200℃/h；管子+管子对接焊缝进行热处理，保温温度保持在750±5℃，保温时间0.5h，升温速度≤200℃/hr，降温速度≤200℃/h。</w:t>
      </w:r>
    </w:p>
    <w:p>
      <w:pPr>
        <w:numPr>
          <w:ilvl w:val="255"/>
          <w:numId w:val="0"/>
        </w:numPr>
        <w:autoSpaceDE w:val="0"/>
        <w:autoSpaceDN w:val="0"/>
        <w:adjustRightInd w:val="0"/>
        <w:spacing w:line="500" w:lineRule="atLeast"/>
        <w:rPr>
          <w:rFonts w:ascii="宋体" w:cs="宋体"/>
          <w:kern w:val="0"/>
          <w:sz w:val="24"/>
          <w:szCs w:val="24"/>
        </w:rPr>
      </w:pPr>
      <w:r>
        <w:rPr>
          <w:rFonts w:hint="eastAsia" w:ascii="宋体" w:cs="宋体"/>
          <w:kern w:val="0"/>
          <w:sz w:val="24"/>
          <w:szCs w:val="24"/>
        </w:rPr>
        <w:t>2.3.4焊缝和焊缝两侧加热宽度不小于200mm，卸炉温度小于70℃。</w:t>
      </w:r>
    </w:p>
    <w:p>
      <w:pPr>
        <w:numPr>
          <w:ilvl w:val="255"/>
          <w:numId w:val="0"/>
        </w:numPr>
        <w:tabs>
          <w:tab w:val="left" w:pos="397"/>
        </w:tabs>
        <w:autoSpaceDE w:val="0"/>
        <w:autoSpaceDN w:val="0"/>
        <w:adjustRightInd w:val="0"/>
        <w:spacing w:line="500" w:lineRule="atLeast"/>
        <w:rPr>
          <w:rFonts w:ascii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2.3.5安装阀门时一定注意的操作方向，一般为操作螺母按反时针方向转动打开，所有阀门和操作器，必须严格按照制造商的施工图和说明安装。</w:t>
      </w:r>
    </w:p>
    <w:p>
      <w:pPr>
        <w:pStyle w:val="20"/>
        <w:numPr>
          <w:ilvl w:val="0"/>
          <w:numId w:val="11"/>
        </w:numPr>
        <w:tabs>
          <w:tab w:val="left" w:pos="397"/>
        </w:tabs>
        <w:adjustRightInd w:val="0"/>
        <w:spacing w:line="360" w:lineRule="auto"/>
        <w:ind w:left="0" w:firstLineChars="0"/>
        <w:jc w:val="left"/>
        <w:rPr>
          <w:kern w:val="44"/>
          <w:sz w:val="24"/>
          <w:szCs w:val="24"/>
        </w:rPr>
      </w:pPr>
      <w:r>
        <w:rPr>
          <w:rFonts w:hint="eastAsia"/>
          <w:kern w:val="44"/>
          <w:sz w:val="24"/>
          <w:szCs w:val="24"/>
        </w:rPr>
        <w:t>管道保温要求</w:t>
      </w:r>
    </w:p>
    <w:p>
      <w:pPr>
        <w:numPr>
          <w:ilvl w:val="1"/>
          <w:numId w:val="11"/>
        </w:numPr>
        <w:spacing w:line="360" w:lineRule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硅酸铝纤维毡其技术要求应满足《绝热用硅酸铝棉及其制品》GB/T16400</w:t>
      </w:r>
    </w:p>
    <w:p>
      <w:pPr>
        <w:numPr>
          <w:ilvl w:val="255"/>
          <w:numId w:val="0"/>
        </w:numPr>
        <w:spacing w:line="360" w:lineRule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－2003规范要求，主要性能要求如下表：</w:t>
      </w:r>
    </w:p>
    <w:tbl>
      <w:tblPr>
        <w:tblStyle w:val="16"/>
        <w:tblW w:w="8164" w:type="dxa"/>
        <w:jc w:val="center"/>
        <w:tblInd w:w="-97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85"/>
        <w:gridCol w:w="3150"/>
        <w:gridCol w:w="19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jc w:val="center"/>
        </w:trPr>
        <w:tc>
          <w:tcPr>
            <w:tcW w:w="3085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  <w:szCs w:val="24"/>
              </w:rPr>
              <w:t>技术性能</w:t>
            </w:r>
          </w:p>
        </w:tc>
        <w:tc>
          <w:tcPr>
            <w:tcW w:w="3150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  <w:szCs w:val="24"/>
              </w:rPr>
              <w:t>技术指标</w:t>
            </w:r>
          </w:p>
        </w:tc>
        <w:tc>
          <w:tcPr>
            <w:tcW w:w="1929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  <w:szCs w:val="24"/>
              </w:rPr>
              <w:t>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jc w:val="center"/>
        </w:trPr>
        <w:tc>
          <w:tcPr>
            <w:tcW w:w="3085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  <w:szCs w:val="24"/>
              </w:rPr>
              <w:t>容重</w:t>
            </w:r>
          </w:p>
        </w:tc>
        <w:tc>
          <w:tcPr>
            <w:tcW w:w="3150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Cs/>
                <w:sz w:val="24"/>
                <w:szCs w:val="24"/>
                <w:highlight w:val="yellow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  <w:szCs w:val="24"/>
              </w:rPr>
              <w:t>95±5</w:t>
            </w:r>
          </w:p>
        </w:tc>
        <w:tc>
          <w:tcPr>
            <w:tcW w:w="1929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Cs/>
                <w:sz w:val="24"/>
                <w:szCs w:val="24"/>
                <w:highlight w:val="yellow"/>
              </w:rPr>
            </w:pPr>
            <w:r>
              <w:rPr>
                <w:rFonts w:ascii="宋体" w:hAnsi="宋体" w:eastAsia="宋体" w:cs="Times New Roman"/>
                <w:bCs/>
                <w:sz w:val="24"/>
                <w:szCs w:val="24"/>
              </w:rPr>
              <w:t>kg/m</w:t>
            </w:r>
            <w:r>
              <w:rPr>
                <w:rFonts w:hint="eastAsia" w:ascii="宋体" w:hAnsi="宋体" w:eastAsia="宋体" w:cs="Times New Roman"/>
                <w:bCs/>
                <w:sz w:val="24"/>
                <w:szCs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jc w:val="center"/>
        </w:trPr>
        <w:tc>
          <w:tcPr>
            <w:tcW w:w="3085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  <w:szCs w:val="24"/>
              </w:rPr>
              <w:t>加热永久线变化/%</w:t>
            </w:r>
          </w:p>
        </w:tc>
        <w:tc>
          <w:tcPr>
            <w:tcW w:w="3150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bCs/>
                <w:sz w:val="24"/>
                <w:szCs w:val="24"/>
              </w:rPr>
              <w:t>≤</w:t>
            </w:r>
            <w:r>
              <w:rPr>
                <w:rFonts w:hint="eastAsia" w:ascii="宋体" w:hAnsi="宋体" w:eastAsia="宋体" w:cs="Times New Roman"/>
                <w:bCs/>
                <w:sz w:val="24"/>
                <w:szCs w:val="24"/>
              </w:rPr>
              <w:t>5.0</w:t>
            </w:r>
          </w:p>
        </w:tc>
        <w:tc>
          <w:tcPr>
            <w:tcW w:w="1929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jc w:val="center"/>
        </w:trPr>
        <w:tc>
          <w:tcPr>
            <w:tcW w:w="3085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  <w:szCs w:val="24"/>
              </w:rPr>
              <w:t>渣球含量/%</w:t>
            </w:r>
          </w:p>
          <w:p>
            <w:pPr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  <w:szCs w:val="24"/>
              </w:rPr>
              <w:t>粒径大于0.21mm</w:t>
            </w:r>
          </w:p>
        </w:tc>
        <w:tc>
          <w:tcPr>
            <w:tcW w:w="3150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bCs/>
                <w:sz w:val="24"/>
                <w:szCs w:val="24"/>
              </w:rPr>
              <w:t>≤</w:t>
            </w:r>
            <w:r>
              <w:rPr>
                <w:rFonts w:hint="eastAsia" w:ascii="宋体" w:hAnsi="宋体" w:eastAsia="宋体" w:cs="Times New Roman"/>
                <w:bCs/>
                <w:sz w:val="24"/>
                <w:szCs w:val="24"/>
              </w:rPr>
              <w:t>20.0</w:t>
            </w:r>
          </w:p>
        </w:tc>
        <w:tc>
          <w:tcPr>
            <w:tcW w:w="1929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jc w:val="center"/>
        </w:trPr>
        <w:tc>
          <w:tcPr>
            <w:tcW w:w="3085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  <w:szCs w:val="24"/>
              </w:rPr>
              <w:t>导热系数500℃±10℃</w:t>
            </w:r>
          </w:p>
        </w:tc>
        <w:tc>
          <w:tcPr>
            <w:tcW w:w="3150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bCs/>
                <w:sz w:val="24"/>
                <w:szCs w:val="24"/>
              </w:rPr>
              <w:t>≤</w:t>
            </w:r>
            <w:r>
              <w:rPr>
                <w:rFonts w:hint="eastAsia" w:ascii="宋体" w:hAnsi="宋体" w:eastAsia="宋体" w:cs="Times New Roman"/>
                <w:bCs/>
                <w:sz w:val="24"/>
                <w:szCs w:val="24"/>
              </w:rPr>
              <w:t>0.161</w:t>
            </w:r>
          </w:p>
        </w:tc>
        <w:tc>
          <w:tcPr>
            <w:tcW w:w="1929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bCs/>
                <w:sz w:val="24"/>
                <w:szCs w:val="24"/>
              </w:rPr>
              <w:t>W/m.k</w:t>
            </w:r>
          </w:p>
        </w:tc>
      </w:tr>
    </w:tbl>
    <w:p>
      <w:pPr>
        <w:pStyle w:val="20"/>
        <w:numPr>
          <w:ilvl w:val="0"/>
          <w:numId w:val="11"/>
        </w:numPr>
        <w:spacing w:line="360" w:lineRule="auto"/>
        <w:ind w:left="0" w:firstLineChars="0"/>
        <w:rPr>
          <w:kern w:val="44"/>
          <w:sz w:val="24"/>
          <w:szCs w:val="24"/>
        </w:rPr>
      </w:pPr>
      <w:r>
        <w:rPr>
          <w:rFonts w:hint="eastAsia"/>
          <w:kern w:val="44"/>
          <w:sz w:val="24"/>
          <w:szCs w:val="24"/>
        </w:rPr>
        <w:t>保温厚度要求</w:t>
      </w:r>
    </w:p>
    <w:tbl>
      <w:tblPr>
        <w:tblStyle w:val="16"/>
        <w:tblW w:w="8112" w:type="dxa"/>
        <w:jc w:val="center"/>
        <w:tblInd w:w="-61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74"/>
        <w:gridCol w:w="1922"/>
        <w:gridCol w:w="1858"/>
        <w:gridCol w:w="18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247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  <w:szCs w:val="24"/>
              </w:rPr>
              <w:t>工作管外径×壁厚</w:t>
            </w:r>
          </w:p>
          <w:p>
            <w:pPr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  <w:szCs w:val="24"/>
              </w:rPr>
              <w:t>mm</w:t>
            </w:r>
          </w:p>
        </w:tc>
        <w:tc>
          <w:tcPr>
            <w:tcW w:w="192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  <w:szCs w:val="24"/>
              </w:rPr>
              <w:t>硅酸铝纤维毡</w:t>
            </w:r>
          </w:p>
          <w:p>
            <w:pPr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  <w:szCs w:val="24"/>
              </w:rPr>
              <w:t>mm</w:t>
            </w:r>
          </w:p>
        </w:tc>
        <w:tc>
          <w:tcPr>
            <w:tcW w:w="185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  <w:szCs w:val="24"/>
              </w:rPr>
              <w:t>外护壳（彩钢板）</w:t>
            </w:r>
          </w:p>
          <w:p>
            <w:pPr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  <w:szCs w:val="24"/>
              </w:rPr>
              <w:t>mm</w:t>
            </w:r>
          </w:p>
        </w:tc>
        <w:tc>
          <w:tcPr>
            <w:tcW w:w="1858" w:type="dxa"/>
          </w:tcPr>
          <w:p>
            <w:pPr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  <w:szCs w:val="24"/>
              </w:rPr>
              <w:t>长度（m）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247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25</w:t>
            </w:r>
            <w:r>
              <w:rPr>
                <w:rFonts w:hint="eastAsia" w:ascii="宋体" w:hAnsi="宋体" w:eastAsia="宋体" w:cs="Times New Roman"/>
                <w:bCs/>
                <w:sz w:val="24"/>
                <w:szCs w:val="24"/>
              </w:rPr>
              <w:t>×</w:t>
            </w:r>
            <w:r>
              <w:rPr>
                <w:rFonts w:hint="eastAsia" w:ascii="宋体" w:hAnsi="宋体"/>
                <w:bCs/>
                <w:sz w:val="24"/>
                <w:szCs w:val="24"/>
              </w:rPr>
              <w:t>5</w:t>
            </w:r>
          </w:p>
        </w:tc>
        <w:tc>
          <w:tcPr>
            <w:tcW w:w="192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  <w:szCs w:val="24"/>
              </w:rPr>
              <w:t>100</w:t>
            </w:r>
          </w:p>
        </w:tc>
        <w:tc>
          <w:tcPr>
            <w:tcW w:w="185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  <w:szCs w:val="24"/>
              </w:rPr>
              <w:t>0.5</w:t>
            </w:r>
          </w:p>
        </w:tc>
        <w:tc>
          <w:tcPr>
            <w:tcW w:w="1858" w:type="dxa"/>
          </w:tcPr>
          <w:p>
            <w:pPr>
              <w:jc w:val="center"/>
              <w:rPr>
                <w:rFonts w:ascii="宋体" w:hAnsi="宋体" w:cs="Times New Roman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24</w:t>
            </w:r>
          </w:p>
        </w:tc>
      </w:tr>
    </w:tbl>
    <w:p>
      <w:pPr>
        <w:pStyle w:val="2"/>
        <w:numPr>
          <w:ilvl w:val="0"/>
          <w:numId w:val="1"/>
        </w:numPr>
        <w:spacing w:before="0" w:after="0" w:line="360" w:lineRule="auto"/>
        <w:ind w:left="482" w:hanging="482" w:hangingChars="200"/>
        <w:rPr>
          <w:sz w:val="24"/>
          <w:szCs w:val="24"/>
        </w:rPr>
      </w:pPr>
      <w:bookmarkStart w:id="8" w:name="_Toc23446"/>
      <w:r>
        <w:rPr>
          <w:rFonts w:hint="eastAsia"/>
          <w:sz w:val="24"/>
          <w:szCs w:val="24"/>
        </w:rPr>
        <w:t>工作要求</w:t>
      </w:r>
      <w:bookmarkEnd w:id="6"/>
      <w:bookmarkEnd w:id="8"/>
    </w:p>
    <w:p>
      <w:pPr>
        <w:pStyle w:val="20"/>
        <w:numPr>
          <w:ilvl w:val="0"/>
          <w:numId w:val="12"/>
        </w:numPr>
        <w:tabs>
          <w:tab w:val="left" w:pos="397"/>
        </w:tabs>
        <w:spacing w:line="360" w:lineRule="auto"/>
        <w:ind w:firstLineChars="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cs="宋体"/>
          <w:kern w:val="0"/>
          <w:sz w:val="24"/>
          <w:szCs w:val="24"/>
        </w:rPr>
        <w:t>根据现场情况，搭设脚手架，做好铺垫，拆除保温，</w:t>
      </w:r>
      <w:r>
        <w:rPr>
          <w:rFonts w:hint="eastAsia" w:asciiTheme="minorEastAsia" w:hAnsiTheme="minorEastAsia"/>
          <w:sz w:val="24"/>
          <w:szCs w:val="24"/>
        </w:rPr>
        <w:t>拆除时保持施工现场整洁，旧的保温棉及时整理到指定的位置并摆放整齐。</w:t>
      </w:r>
    </w:p>
    <w:p>
      <w:pPr>
        <w:pStyle w:val="20"/>
        <w:numPr>
          <w:ilvl w:val="0"/>
          <w:numId w:val="12"/>
        </w:numPr>
        <w:tabs>
          <w:tab w:val="left" w:pos="397"/>
        </w:tabs>
        <w:spacing w:line="360" w:lineRule="auto"/>
        <w:ind w:firstLineChars="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工作应全面包含上述内容，如因特殊情况无法实施，需提前向采购人相关人员报告，经同意后进行调整。</w:t>
      </w:r>
    </w:p>
    <w:p>
      <w:pPr>
        <w:pStyle w:val="20"/>
        <w:numPr>
          <w:ilvl w:val="0"/>
          <w:numId w:val="12"/>
        </w:numPr>
        <w:tabs>
          <w:tab w:val="left" w:pos="397"/>
        </w:tabs>
        <w:spacing w:line="360" w:lineRule="auto"/>
        <w:ind w:firstLineChars="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项目施工前5个工作日将所需的材料运至现场，由采购人相关专业人员检查核对，如材料不齐全、或质量不合格、或不能按时提交，则取消合同或按考核条款考核。</w:t>
      </w:r>
    </w:p>
    <w:p>
      <w:pPr>
        <w:pStyle w:val="20"/>
        <w:numPr>
          <w:ilvl w:val="0"/>
          <w:numId w:val="12"/>
        </w:numPr>
        <w:tabs>
          <w:tab w:val="left" w:pos="397"/>
        </w:tabs>
        <w:spacing w:line="360" w:lineRule="auto"/>
        <w:ind w:firstLineChars="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预计工期为2023年10月，共30天，具体开工日期以采购人通知为准。</w:t>
      </w:r>
    </w:p>
    <w:p>
      <w:pPr>
        <w:pStyle w:val="2"/>
        <w:numPr>
          <w:ilvl w:val="0"/>
          <w:numId w:val="1"/>
        </w:numPr>
        <w:spacing w:before="0" w:after="0" w:line="360" w:lineRule="auto"/>
        <w:ind w:left="482" w:hanging="482" w:hangingChars="200"/>
        <w:rPr>
          <w:sz w:val="24"/>
          <w:szCs w:val="24"/>
        </w:rPr>
      </w:pPr>
      <w:bookmarkStart w:id="9" w:name="_Toc17582027"/>
      <w:bookmarkStart w:id="10" w:name="_Toc3153"/>
      <w:r>
        <w:rPr>
          <w:rFonts w:hint="eastAsia"/>
          <w:sz w:val="24"/>
          <w:szCs w:val="24"/>
        </w:rPr>
        <w:t>安全要求</w:t>
      </w:r>
      <w:bookmarkEnd w:id="9"/>
      <w:bookmarkEnd w:id="10"/>
    </w:p>
    <w:p>
      <w:pPr>
        <w:numPr>
          <w:ilvl w:val="0"/>
          <w:numId w:val="13"/>
        </w:numPr>
        <w:spacing w:line="360" w:lineRule="auto"/>
        <w:ind w:left="840"/>
        <w:contextualSpacing/>
        <w:rPr>
          <w:sz w:val="24"/>
          <w:szCs w:val="24"/>
        </w:rPr>
      </w:pPr>
      <w:bookmarkStart w:id="11" w:name="_Toc17582028"/>
      <w:r>
        <w:rPr>
          <w:rFonts w:hint="eastAsia"/>
          <w:sz w:val="24"/>
          <w:szCs w:val="24"/>
        </w:rPr>
        <w:t>供应商人员进入生产区域应严格遵守采购人“七条红线”、“两票三制”、</w:t>
      </w:r>
    </w:p>
    <w:p>
      <w:pPr>
        <w:spacing w:line="360" w:lineRule="auto"/>
        <w:contextualSpacing/>
        <w:rPr>
          <w:sz w:val="24"/>
          <w:szCs w:val="24"/>
        </w:rPr>
      </w:pPr>
      <w:r>
        <w:rPr>
          <w:rFonts w:hint="eastAsia"/>
          <w:sz w:val="24"/>
          <w:szCs w:val="24"/>
        </w:rPr>
        <w:t>《安规》、《文明生产管理规范》等生产管理制度要求，自觉接受采购人生产管理人员的现场监督检查。</w:t>
      </w:r>
    </w:p>
    <w:p>
      <w:pPr>
        <w:numPr>
          <w:ilvl w:val="0"/>
          <w:numId w:val="13"/>
        </w:numPr>
        <w:spacing w:line="360" w:lineRule="auto"/>
        <w:ind w:left="840"/>
        <w:contextualSpacing/>
        <w:rPr>
          <w:sz w:val="24"/>
          <w:szCs w:val="24"/>
        </w:rPr>
      </w:pPr>
      <w:r>
        <w:rPr>
          <w:rFonts w:hint="eastAsia"/>
          <w:sz w:val="24"/>
          <w:szCs w:val="24"/>
        </w:rPr>
        <w:t>供应商</w:t>
      </w:r>
      <w:r>
        <w:rPr>
          <w:rFonts w:hint="eastAsia" w:asciiTheme="minorEastAsia" w:hAnsiTheme="minorEastAsia"/>
          <w:sz w:val="24"/>
          <w:szCs w:val="24"/>
        </w:rPr>
        <w:t>人员入厂作业前，应进行入厂三级安全教育，经采购人培训合格</w:t>
      </w:r>
    </w:p>
    <w:p>
      <w:pPr>
        <w:spacing w:line="360" w:lineRule="auto"/>
        <w:contextualSpacing/>
        <w:rPr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后，方可进入生产区域作业。</w:t>
      </w:r>
    </w:p>
    <w:p>
      <w:pPr>
        <w:numPr>
          <w:ilvl w:val="0"/>
          <w:numId w:val="13"/>
        </w:numPr>
        <w:spacing w:line="360" w:lineRule="auto"/>
        <w:ind w:left="840"/>
        <w:contextualSpacing/>
        <w:rPr>
          <w:sz w:val="24"/>
          <w:szCs w:val="24"/>
        </w:rPr>
      </w:pPr>
      <w:r>
        <w:rPr>
          <w:rFonts w:hint="eastAsia"/>
          <w:sz w:val="24"/>
          <w:szCs w:val="24"/>
        </w:rPr>
        <w:t>进入生产现场开展施工作业，自觉接受采购人关于该项作业的安全技术</w:t>
      </w:r>
    </w:p>
    <w:p>
      <w:pPr>
        <w:spacing w:line="360" w:lineRule="auto"/>
        <w:contextualSpacing/>
        <w:rPr>
          <w:sz w:val="24"/>
          <w:szCs w:val="24"/>
        </w:rPr>
      </w:pPr>
      <w:r>
        <w:rPr>
          <w:rFonts w:hint="eastAsia"/>
          <w:sz w:val="24"/>
          <w:szCs w:val="24"/>
        </w:rPr>
        <w:t>交底，协同分析和执行工作地点存在的危险因素和预防控制措施，以及施工人员应采取的必要安全防护措施，并履行确认签字手续。</w:t>
      </w:r>
    </w:p>
    <w:p>
      <w:pPr>
        <w:numPr>
          <w:ilvl w:val="0"/>
          <w:numId w:val="13"/>
        </w:numPr>
        <w:spacing w:line="360" w:lineRule="auto"/>
        <w:ind w:left="840"/>
        <w:contextualSpacing/>
        <w:rPr>
          <w:rFonts w:ascii="Calibri" w:hAnsi="Calibri" w:eastAsia="宋体" w:cs="Times New Roman"/>
          <w:sz w:val="24"/>
          <w:szCs w:val="24"/>
        </w:rPr>
      </w:pPr>
      <w:r>
        <w:rPr>
          <w:rFonts w:hint="eastAsia" w:ascii="Calibri" w:hAnsi="Calibri" w:eastAsia="宋体" w:cs="Times New Roman"/>
          <w:sz w:val="24"/>
          <w:szCs w:val="24"/>
        </w:rPr>
        <w:t>严格执行采购人制定的文明卫生考核细则。</w:t>
      </w:r>
    </w:p>
    <w:p>
      <w:pPr>
        <w:numPr>
          <w:ilvl w:val="0"/>
          <w:numId w:val="13"/>
        </w:numPr>
        <w:spacing w:line="360" w:lineRule="auto"/>
        <w:ind w:left="840"/>
        <w:contextualSpacing/>
        <w:rPr>
          <w:rFonts w:ascii="Calibri" w:hAnsi="Calibri" w:eastAsia="宋体" w:cs="Times New Roman"/>
          <w:sz w:val="24"/>
          <w:szCs w:val="24"/>
        </w:rPr>
      </w:pPr>
      <w:r>
        <w:rPr>
          <w:rFonts w:hint="eastAsia" w:ascii="Calibri" w:hAnsi="Calibri" w:eastAsia="宋体" w:cs="Times New Roman"/>
          <w:sz w:val="24"/>
          <w:szCs w:val="24"/>
        </w:rPr>
        <w:t>工作人员进入现场应统一着装。</w:t>
      </w:r>
    </w:p>
    <w:p>
      <w:pPr>
        <w:numPr>
          <w:ilvl w:val="0"/>
          <w:numId w:val="13"/>
        </w:numPr>
        <w:spacing w:line="360" w:lineRule="auto"/>
        <w:ind w:left="840"/>
        <w:contextualSpacing/>
        <w:rPr>
          <w:rFonts w:ascii="Calibri" w:hAnsi="Calibri" w:eastAsia="宋体" w:cs="Times New Roman"/>
          <w:sz w:val="24"/>
          <w:szCs w:val="24"/>
        </w:rPr>
      </w:pPr>
      <w:r>
        <w:rPr>
          <w:rFonts w:hint="eastAsia" w:ascii="Calibri" w:hAnsi="Calibri" w:eastAsia="宋体" w:cs="Times New Roman"/>
          <w:sz w:val="24"/>
          <w:szCs w:val="24"/>
        </w:rPr>
        <w:t>作业前，必须对施工作业全过程进行危险点分析，查找施工过程可能存</w:t>
      </w:r>
    </w:p>
    <w:p>
      <w:pPr>
        <w:spacing w:line="360" w:lineRule="auto"/>
        <w:contextualSpacing/>
        <w:rPr>
          <w:rFonts w:ascii="Calibri" w:hAnsi="Calibri" w:eastAsia="宋体" w:cs="Times New Roman"/>
          <w:sz w:val="24"/>
          <w:szCs w:val="24"/>
        </w:rPr>
      </w:pPr>
      <w:r>
        <w:rPr>
          <w:rFonts w:hint="eastAsia" w:ascii="Calibri" w:hAnsi="Calibri" w:eastAsia="宋体" w:cs="Times New Roman"/>
          <w:sz w:val="24"/>
          <w:szCs w:val="24"/>
        </w:rPr>
        <w:t>的危险点，对本项作业的安全风险分析与控制措施制订补充安全措施，并在工作中严格执行。</w:t>
      </w:r>
    </w:p>
    <w:p>
      <w:pPr>
        <w:numPr>
          <w:ilvl w:val="0"/>
          <w:numId w:val="13"/>
        </w:numPr>
        <w:spacing w:line="360" w:lineRule="auto"/>
        <w:ind w:left="840"/>
        <w:contextualSpacing/>
        <w:rPr>
          <w:rFonts w:ascii="Calibri" w:hAnsi="Calibri" w:eastAsia="宋体" w:cs="Times New Roman"/>
          <w:sz w:val="24"/>
          <w:szCs w:val="24"/>
        </w:rPr>
      </w:pPr>
      <w:r>
        <w:rPr>
          <w:rFonts w:hint="eastAsia" w:ascii="Calibri" w:hAnsi="Calibri" w:eastAsia="宋体" w:cs="Times New Roman"/>
          <w:sz w:val="24"/>
          <w:szCs w:val="24"/>
        </w:rPr>
        <w:t>开工前工作负责人要向工作组全体成员进行安全技术交底，告知工作地</w:t>
      </w:r>
    </w:p>
    <w:p>
      <w:pPr>
        <w:spacing w:line="360" w:lineRule="auto"/>
        <w:contextualSpacing/>
        <w:rPr>
          <w:rFonts w:ascii="Calibri" w:hAnsi="Calibri" w:eastAsia="宋体" w:cs="Times New Roman"/>
          <w:sz w:val="24"/>
          <w:szCs w:val="24"/>
        </w:rPr>
      </w:pPr>
      <w:r>
        <w:rPr>
          <w:rFonts w:hint="eastAsia" w:ascii="Calibri" w:hAnsi="Calibri" w:eastAsia="宋体" w:cs="Times New Roman"/>
          <w:sz w:val="24"/>
          <w:szCs w:val="24"/>
        </w:rPr>
        <w:t>点存在的危险因素和安全注意事项，并履行确认签字手续。</w:t>
      </w:r>
    </w:p>
    <w:p>
      <w:pPr>
        <w:numPr>
          <w:ilvl w:val="0"/>
          <w:numId w:val="13"/>
        </w:numPr>
        <w:spacing w:line="360" w:lineRule="auto"/>
        <w:ind w:left="840"/>
        <w:contextualSpacing/>
        <w:rPr>
          <w:rFonts w:ascii="Calibri" w:hAnsi="Calibri" w:eastAsia="宋体" w:cs="Times New Roman"/>
          <w:sz w:val="24"/>
          <w:szCs w:val="24"/>
        </w:rPr>
      </w:pPr>
      <w:r>
        <w:rPr>
          <w:rFonts w:hint="eastAsia" w:ascii="Calibri" w:hAnsi="Calibri" w:eastAsia="宋体" w:cs="Times New Roman"/>
          <w:sz w:val="24"/>
          <w:szCs w:val="24"/>
        </w:rPr>
        <w:t>现场临时堆放的架杆、架板、物料必须定置存放，设立安全围栏或安全</w:t>
      </w:r>
    </w:p>
    <w:p>
      <w:pPr>
        <w:spacing w:line="360" w:lineRule="auto"/>
        <w:contextualSpacing/>
        <w:rPr>
          <w:rFonts w:ascii="Calibri" w:hAnsi="Calibri" w:eastAsia="宋体" w:cs="Times New Roman"/>
          <w:sz w:val="24"/>
          <w:szCs w:val="24"/>
        </w:rPr>
      </w:pPr>
      <w:r>
        <w:rPr>
          <w:rFonts w:hint="eastAsia" w:ascii="Calibri" w:hAnsi="Calibri" w:eastAsia="宋体" w:cs="Times New Roman"/>
          <w:sz w:val="24"/>
          <w:szCs w:val="24"/>
        </w:rPr>
        <w:t>警示绳（带），悬挂临时物料存放信息牌。</w:t>
      </w:r>
    </w:p>
    <w:p>
      <w:pPr>
        <w:numPr>
          <w:ilvl w:val="0"/>
          <w:numId w:val="13"/>
        </w:numPr>
        <w:spacing w:line="360" w:lineRule="auto"/>
        <w:ind w:left="840"/>
        <w:contextualSpacing/>
        <w:rPr>
          <w:rFonts w:ascii="Calibri" w:hAnsi="Calibri" w:eastAsia="宋体" w:cs="Times New Roman"/>
          <w:sz w:val="24"/>
          <w:szCs w:val="24"/>
        </w:rPr>
      </w:pPr>
      <w:r>
        <w:rPr>
          <w:rFonts w:hint="eastAsia" w:ascii="Calibri" w:hAnsi="Calibri" w:eastAsia="宋体" w:cs="Times New Roman"/>
          <w:sz w:val="24"/>
          <w:szCs w:val="24"/>
        </w:rPr>
        <w:t>氧气瓶与乙炔瓶的存放、使用必须符合《安规》要求。</w:t>
      </w:r>
    </w:p>
    <w:p>
      <w:pPr>
        <w:numPr>
          <w:ilvl w:val="0"/>
          <w:numId w:val="13"/>
        </w:numPr>
        <w:spacing w:line="360" w:lineRule="auto"/>
        <w:ind w:left="840"/>
        <w:contextualSpacing/>
        <w:rPr>
          <w:rFonts w:ascii="Calibri" w:hAnsi="Calibri" w:eastAsia="宋体" w:cs="Times New Roman"/>
          <w:sz w:val="24"/>
          <w:szCs w:val="24"/>
        </w:rPr>
      </w:pPr>
      <w:r>
        <w:rPr>
          <w:rFonts w:hint="eastAsia" w:ascii="Calibri" w:hAnsi="Calibri" w:eastAsia="宋体" w:cs="Times New Roman"/>
          <w:sz w:val="24"/>
          <w:szCs w:val="24"/>
        </w:rPr>
        <w:t>安全工器具及其使用必须符合有关要求。</w:t>
      </w:r>
    </w:p>
    <w:p>
      <w:pPr>
        <w:numPr>
          <w:ilvl w:val="0"/>
          <w:numId w:val="13"/>
        </w:numPr>
        <w:spacing w:line="360" w:lineRule="auto"/>
        <w:ind w:left="840"/>
        <w:contextualSpacing/>
        <w:rPr>
          <w:rFonts w:ascii="Calibri" w:hAnsi="Calibri" w:eastAsia="宋体" w:cs="Times New Roman"/>
          <w:sz w:val="24"/>
          <w:szCs w:val="24"/>
        </w:rPr>
      </w:pPr>
      <w:r>
        <w:rPr>
          <w:rFonts w:hint="eastAsia" w:ascii="Calibri" w:hAnsi="Calibri" w:eastAsia="宋体" w:cs="Times New Roman"/>
          <w:sz w:val="24"/>
          <w:szCs w:val="24"/>
        </w:rPr>
        <w:t>工作中要及时清理被检设备和检修现场，保持并维护检修区域和生产场</w:t>
      </w:r>
    </w:p>
    <w:p>
      <w:pPr>
        <w:spacing w:line="360" w:lineRule="auto"/>
        <w:contextualSpacing/>
        <w:rPr>
          <w:rFonts w:ascii="Calibri" w:hAnsi="Calibri" w:eastAsia="宋体" w:cs="Times New Roman"/>
          <w:sz w:val="24"/>
          <w:szCs w:val="24"/>
        </w:rPr>
      </w:pPr>
      <w:r>
        <w:rPr>
          <w:rFonts w:hint="eastAsia" w:ascii="Calibri" w:hAnsi="Calibri" w:eastAsia="宋体" w:cs="Times New Roman"/>
          <w:sz w:val="24"/>
          <w:szCs w:val="24"/>
        </w:rPr>
        <w:t>所的清洁、文明状态，检修工作完成后，做到工完、料净、场地清，保证设备清洁整洁、油漆完好、保温完好。</w:t>
      </w:r>
    </w:p>
    <w:p>
      <w:pPr>
        <w:numPr>
          <w:ilvl w:val="0"/>
          <w:numId w:val="13"/>
        </w:numPr>
        <w:spacing w:line="360" w:lineRule="auto"/>
        <w:ind w:left="840"/>
        <w:contextualSpacing/>
        <w:rPr>
          <w:rFonts w:ascii="Calibri" w:hAnsi="Calibri" w:eastAsia="宋体" w:cs="Times New Roman"/>
          <w:sz w:val="24"/>
          <w:szCs w:val="24"/>
        </w:rPr>
      </w:pPr>
      <w:r>
        <w:rPr>
          <w:rFonts w:hint="eastAsia" w:ascii="Calibri" w:hAnsi="Calibri" w:eastAsia="宋体" w:cs="Times New Roman"/>
          <w:sz w:val="24"/>
          <w:szCs w:val="24"/>
        </w:rPr>
        <w:t>供应商不得随意在设备、结构、墙板、楼道上开孔或焊接临时结构，必</w:t>
      </w:r>
    </w:p>
    <w:p>
      <w:pPr>
        <w:spacing w:line="360" w:lineRule="auto"/>
        <w:contextualSpacing/>
        <w:rPr>
          <w:rFonts w:ascii="Calibri" w:hAnsi="Calibri" w:eastAsia="宋体" w:cs="Times New Roman"/>
          <w:sz w:val="24"/>
          <w:szCs w:val="24"/>
        </w:rPr>
      </w:pPr>
      <w:r>
        <w:rPr>
          <w:rFonts w:hint="eastAsia" w:ascii="Calibri" w:hAnsi="Calibri" w:eastAsia="宋体" w:cs="Times New Roman"/>
          <w:sz w:val="24"/>
          <w:szCs w:val="24"/>
        </w:rPr>
        <w:t>要时须提出书面申请，经采购人的生产管理部门批准后方可实施。</w:t>
      </w:r>
    </w:p>
    <w:p>
      <w:pPr>
        <w:numPr>
          <w:ilvl w:val="0"/>
          <w:numId w:val="13"/>
        </w:numPr>
        <w:spacing w:line="360" w:lineRule="auto"/>
        <w:ind w:left="840"/>
        <w:contextualSpacing/>
        <w:rPr>
          <w:rFonts w:ascii="Calibri" w:hAnsi="Calibri" w:eastAsia="宋体" w:cs="Times New Roman"/>
          <w:sz w:val="24"/>
          <w:szCs w:val="24"/>
        </w:rPr>
      </w:pPr>
      <w:r>
        <w:rPr>
          <w:rFonts w:hint="eastAsia" w:ascii="Calibri" w:hAnsi="Calibri" w:eastAsia="宋体" w:cs="Times New Roman"/>
          <w:sz w:val="24"/>
          <w:szCs w:val="24"/>
        </w:rPr>
        <w:t>现场应配备充足的各类安全设施（安全标志牌、临时防护围栏、临时提</w:t>
      </w:r>
    </w:p>
    <w:p>
      <w:pPr>
        <w:spacing w:line="360" w:lineRule="auto"/>
        <w:contextualSpacing/>
        <w:rPr>
          <w:rFonts w:ascii="Calibri" w:hAnsi="Calibri" w:eastAsia="宋体" w:cs="Times New Roman"/>
          <w:sz w:val="24"/>
          <w:szCs w:val="24"/>
        </w:rPr>
      </w:pPr>
      <w:r>
        <w:rPr>
          <w:rFonts w:hint="eastAsia" w:ascii="Calibri" w:hAnsi="Calibri" w:eastAsia="宋体" w:cs="Times New Roman"/>
          <w:sz w:val="24"/>
          <w:szCs w:val="24"/>
        </w:rPr>
        <w:t>示遮拦等）。</w:t>
      </w:r>
    </w:p>
    <w:p>
      <w:pPr>
        <w:pStyle w:val="2"/>
        <w:numPr>
          <w:ilvl w:val="0"/>
          <w:numId w:val="1"/>
        </w:numPr>
        <w:spacing w:before="0" w:after="0" w:line="360" w:lineRule="auto"/>
        <w:ind w:left="482" w:hanging="482" w:hangingChars="200"/>
        <w:rPr>
          <w:sz w:val="24"/>
          <w:szCs w:val="24"/>
        </w:rPr>
      </w:pPr>
      <w:bookmarkStart w:id="12" w:name="_Toc16406"/>
      <w:r>
        <w:rPr>
          <w:rFonts w:hint="eastAsia"/>
          <w:sz w:val="24"/>
          <w:szCs w:val="24"/>
        </w:rPr>
        <w:t>质量要求</w:t>
      </w:r>
      <w:bookmarkEnd w:id="11"/>
      <w:bookmarkEnd w:id="12"/>
    </w:p>
    <w:p>
      <w:pPr>
        <w:pStyle w:val="20"/>
        <w:numPr>
          <w:ilvl w:val="0"/>
          <w:numId w:val="14"/>
        </w:numPr>
        <w:spacing w:line="360" w:lineRule="auto"/>
        <w:ind w:left="845" w:firstLineChars="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本次工程质保期为1年，</w:t>
      </w:r>
      <w:r>
        <w:rPr>
          <w:rFonts w:hint="eastAsia"/>
          <w:kern w:val="44"/>
          <w:sz w:val="24"/>
          <w:szCs w:val="24"/>
        </w:rPr>
        <w:t>自设备安装后现场验收合格为质保开始日期，</w:t>
      </w:r>
    </w:p>
    <w:p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hint="eastAsia"/>
          <w:kern w:val="44"/>
          <w:sz w:val="24"/>
          <w:szCs w:val="24"/>
        </w:rPr>
        <w:t>质保期内管道出现泄漏、开裂等任何故障时供应商应承担所有修复费用，或委托有资质的单位进行修复，费用由供应商承担。</w:t>
      </w:r>
    </w:p>
    <w:p>
      <w:pPr>
        <w:pStyle w:val="20"/>
        <w:numPr>
          <w:ilvl w:val="0"/>
          <w:numId w:val="14"/>
        </w:numPr>
        <w:spacing w:line="360" w:lineRule="auto"/>
        <w:ind w:left="845" w:firstLineChars="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当环境温度不高于25℃时，热力设备、管道及其附件的保温结构外表面</w:t>
      </w:r>
    </w:p>
    <w:p>
      <w:pPr>
        <w:pStyle w:val="20"/>
        <w:numPr>
          <w:ilvl w:val="255"/>
          <w:numId w:val="0"/>
        </w:numPr>
        <w:spacing w:line="360" w:lineRule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温度不应超过50℃。</w:t>
      </w:r>
    </w:p>
    <w:p>
      <w:pPr>
        <w:pStyle w:val="20"/>
        <w:numPr>
          <w:ilvl w:val="0"/>
          <w:numId w:val="14"/>
        </w:numPr>
        <w:spacing w:line="360" w:lineRule="auto"/>
        <w:ind w:left="845" w:firstLineChars="0"/>
        <w:rPr>
          <w:kern w:val="44"/>
          <w:sz w:val="24"/>
          <w:szCs w:val="24"/>
        </w:rPr>
      </w:pPr>
      <w:r>
        <w:rPr>
          <w:rFonts w:hint="eastAsia"/>
          <w:kern w:val="44"/>
          <w:sz w:val="24"/>
          <w:szCs w:val="24"/>
        </w:rPr>
        <w:t>供应商在对管道施工的过程中，应控制在可修复范围内，防止管道报废</w:t>
      </w:r>
    </w:p>
    <w:p>
      <w:pPr>
        <w:pStyle w:val="20"/>
        <w:spacing w:line="360" w:lineRule="auto"/>
        <w:ind w:firstLine="0" w:firstLineChars="0"/>
        <w:rPr>
          <w:kern w:val="44"/>
          <w:sz w:val="24"/>
          <w:szCs w:val="24"/>
        </w:rPr>
      </w:pPr>
      <w:r>
        <w:rPr>
          <w:rFonts w:hint="eastAsia"/>
          <w:kern w:val="44"/>
          <w:sz w:val="24"/>
          <w:szCs w:val="24"/>
        </w:rPr>
        <w:t>的情况出现。</w:t>
      </w:r>
    </w:p>
    <w:p>
      <w:pPr>
        <w:pStyle w:val="2"/>
        <w:numPr>
          <w:ilvl w:val="0"/>
          <w:numId w:val="1"/>
        </w:numPr>
        <w:spacing w:before="0" w:after="0" w:line="360" w:lineRule="auto"/>
        <w:ind w:left="482" w:hanging="482" w:hangingChars="200"/>
        <w:rPr>
          <w:sz w:val="24"/>
          <w:szCs w:val="24"/>
        </w:rPr>
      </w:pPr>
      <w:bookmarkStart w:id="13" w:name="_Toc17582029"/>
      <w:bookmarkStart w:id="14" w:name="_Toc12312"/>
      <w:r>
        <w:rPr>
          <w:rFonts w:hint="eastAsia"/>
          <w:sz w:val="24"/>
          <w:szCs w:val="24"/>
        </w:rPr>
        <w:t>提交的材料及报告</w:t>
      </w:r>
      <w:bookmarkEnd w:id="13"/>
      <w:bookmarkEnd w:id="14"/>
    </w:p>
    <w:p>
      <w:pPr>
        <w:pStyle w:val="20"/>
        <w:numPr>
          <w:ilvl w:val="0"/>
          <w:numId w:val="15"/>
        </w:numPr>
        <w:spacing w:line="360" w:lineRule="auto"/>
        <w:ind w:left="845" w:firstLineChars="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供应商在合同签订后5个自然日出具三措两案，</w:t>
      </w:r>
      <w:r>
        <w:rPr>
          <w:rFonts w:hint="eastAsia"/>
          <w:kern w:val="44"/>
          <w:sz w:val="24"/>
          <w:szCs w:val="24"/>
        </w:rPr>
        <w:t>方案应包括资质证明、</w:t>
      </w:r>
    </w:p>
    <w:p>
      <w:pPr>
        <w:pStyle w:val="20"/>
        <w:spacing w:line="360" w:lineRule="auto"/>
        <w:ind w:firstLine="0" w:firstLineChars="0"/>
        <w:rPr>
          <w:rFonts w:hint="eastAsia"/>
          <w:kern w:val="44"/>
          <w:sz w:val="24"/>
          <w:szCs w:val="24"/>
        </w:rPr>
      </w:pPr>
      <w:r>
        <w:rPr>
          <w:rFonts w:hint="eastAsia"/>
          <w:kern w:val="44"/>
          <w:sz w:val="24"/>
          <w:szCs w:val="24"/>
        </w:rPr>
        <w:t>组织措施、进度安排、技术措施、工艺要求、质量标准、质保和安全措施、消耗性材料、需搭设的脚手架、需拆除的保温、需要工种和工时等。</w:t>
      </w:r>
    </w:p>
    <w:p>
      <w:pPr>
        <w:pStyle w:val="20"/>
        <w:numPr>
          <w:ilvl w:val="0"/>
          <w:numId w:val="15"/>
        </w:numPr>
        <w:spacing w:line="360" w:lineRule="auto"/>
        <w:ind w:left="845" w:firstLineChars="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合同签订后</w:t>
      </w:r>
      <w:r>
        <w:rPr>
          <w:rFonts w:hint="eastAsia" w:ascii="宋体" w:hAnsi="宋体"/>
          <w:sz w:val="24"/>
          <w:szCs w:val="24"/>
          <w:lang w:val="en-US" w:eastAsia="zh-CN"/>
        </w:rPr>
        <w:t>提供焊接工艺评定书，开工前填写主蒸汽管道焊接工艺卡。</w:t>
      </w:r>
    </w:p>
    <w:p>
      <w:pPr>
        <w:pStyle w:val="20"/>
        <w:numPr>
          <w:ilvl w:val="0"/>
          <w:numId w:val="15"/>
        </w:numPr>
        <w:spacing w:line="360" w:lineRule="auto"/>
        <w:ind w:left="845" w:firstLineChars="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所有供货设备的出厂质量证明文件，出厂测试报告。</w:t>
      </w:r>
    </w:p>
    <w:p>
      <w:pPr>
        <w:pStyle w:val="20"/>
        <w:numPr>
          <w:ilvl w:val="0"/>
          <w:numId w:val="15"/>
        </w:numPr>
        <w:spacing w:line="360" w:lineRule="auto"/>
        <w:ind w:left="845" w:firstLineChars="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提供终版施工图纸和安装调试资料。</w:t>
      </w:r>
    </w:p>
    <w:p>
      <w:pPr>
        <w:pStyle w:val="2"/>
        <w:numPr>
          <w:ilvl w:val="0"/>
          <w:numId w:val="1"/>
        </w:numPr>
        <w:spacing w:before="0" w:after="0" w:line="360" w:lineRule="auto"/>
        <w:ind w:left="482" w:hanging="482" w:hangingChars="200"/>
        <w:rPr>
          <w:sz w:val="24"/>
          <w:szCs w:val="24"/>
        </w:rPr>
      </w:pPr>
      <w:bookmarkStart w:id="15" w:name="_Toc17582030"/>
      <w:bookmarkStart w:id="16" w:name="_Toc26260"/>
      <w:r>
        <w:rPr>
          <w:rFonts w:hint="eastAsia"/>
          <w:sz w:val="24"/>
          <w:szCs w:val="24"/>
        </w:rPr>
        <w:t>供应商</w:t>
      </w:r>
      <w:r>
        <w:rPr>
          <w:rFonts w:hint="eastAsia"/>
          <w:sz w:val="24"/>
          <w:szCs w:val="24"/>
          <w:lang w:eastAsia="zh-CN"/>
        </w:rPr>
        <w:t>人员</w:t>
      </w:r>
      <w:r>
        <w:rPr>
          <w:rFonts w:hint="eastAsia"/>
          <w:sz w:val="24"/>
          <w:szCs w:val="24"/>
        </w:rPr>
        <w:t>要求</w:t>
      </w:r>
      <w:bookmarkEnd w:id="15"/>
      <w:bookmarkEnd w:id="16"/>
    </w:p>
    <w:p>
      <w:pPr>
        <w:pStyle w:val="20"/>
        <w:numPr>
          <w:ilvl w:val="0"/>
          <w:numId w:val="16"/>
        </w:numPr>
        <w:spacing w:line="360" w:lineRule="auto"/>
        <w:ind w:left="845" w:firstLineChars="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人员要求：</w:t>
      </w:r>
    </w:p>
    <w:p>
      <w:pPr>
        <w:pStyle w:val="20"/>
        <w:numPr>
          <w:ilvl w:val="0"/>
          <w:numId w:val="17"/>
        </w:numPr>
        <w:tabs>
          <w:tab w:val="left" w:pos="420"/>
          <w:tab w:val="clear" w:pos="0"/>
        </w:tabs>
        <w:spacing w:line="360" w:lineRule="auto"/>
        <w:ind w:left="0" w:leftChars="0" w:firstLine="420" w:firstLineChars="0"/>
        <w:rPr>
          <w:rFonts w:ascii="宋体" w:cs="宋体"/>
          <w:kern w:val="0"/>
          <w:sz w:val="24"/>
          <w:szCs w:val="24"/>
        </w:rPr>
      </w:pPr>
      <w:r>
        <w:rPr>
          <w:rFonts w:hint="eastAsia" w:ascii="宋体" w:cs="宋体"/>
          <w:kern w:val="0"/>
          <w:sz w:val="24"/>
          <w:szCs w:val="24"/>
        </w:rPr>
        <w:t>供应商进入发包单位生产现场工作人员，要求为供应商正式员工，应自觉遵守发包单位现场生产管理制度，履行安全文明生产的相关要求。</w:t>
      </w:r>
    </w:p>
    <w:p>
      <w:pPr>
        <w:pStyle w:val="20"/>
        <w:numPr>
          <w:ilvl w:val="0"/>
          <w:numId w:val="17"/>
        </w:numPr>
        <w:tabs>
          <w:tab w:val="left" w:pos="420"/>
          <w:tab w:val="clear" w:pos="0"/>
        </w:tabs>
        <w:spacing w:line="360" w:lineRule="auto"/>
        <w:ind w:left="0" w:leftChars="0" w:firstLine="420" w:firstLineChars="0"/>
        <w:rPr>
          <w:rFonts w:ascii="宋体" w:cs="宋体"/>
          <w:kern w:val="0"/>
          <w:sz w:val="24"/>
          <w:szCs w:val="24"/>
        </w:rPr>
      </w:pPr>
      <w:r>
        <w:rPr>
          <w:rFonts w:hint="eastAsia" w:ascii="宋体" w:cs="宋体"/>
          <w:kern w:val="0"/>
          <w:sz w:val="24"/>
          <w:szCs w:val="24"/>
        </w:rPr>
        <w:t>电源拆接相关工作人员必须持应急管理局颁发的电工证，焊接人员须应</w:t>
      </w:r>
    </w:p>
    <w:p>
      <w:pPr>
        <w:pStyle w:val="20"/>
        <w:tabs>
          <w:tab w:val="left" w:pos="420"/>
        </w:tabs>
        <w:spacing w:line="360" w:lineRule="auto"/>
        <w:ind w:firstLine="0" w:firstLineChars="0"/>
        <w:rPr>
          <w:rFonts w:asciiTheme="minorEastAsia" w:hAnsiTheme="minorEastAsia"/>
          <w:sz w:val="24"/>
          <w:szCs w:val="24"/>
        </w:rPr>
      </w:pPr>
      <w:r>
        <w:rPr>
          <w:rFonts w:hint="eastAsia" w:ascii="宋体" w:cs="宋体"/>
          <w:kern w:val="0"/>
          <w:sz w:val="24"/>
          <w:szCs w:val="24"/>
        </w:rPr>
        <w:t>急管理局颁发的高压焊工证件，脚手架搭设人员须持登高架设作业证。</w:t>
      </w:r>
    </w:p>
    <w:p>
      <w:pPr>
        <w:pStyle w:val="20"/>
        <w:numPr>
          <w:ilvl w:val="0"/>
          <w:numId w:val="17"/>
        </w:numPr>
        <w:tabs>
          <w:tab w:val="left" w:pos="420"/>
          <w:tab w:val="clear" w:pos="0"/>
        </w:tabs>
        <w:spacing w:line="360" w:lineRule="auto"/>
        <w:ind w:left="0" w:leftChars="0" w:firstLine="420" w:firstLineChars="0"/>
        <w:rPr>
          <w:rFonts w:ascii="宋体" w:cs="宋体"/>
          <w:kern w:val="0"/>
          <w:sz w:val="24"/>
          <w:szCs w:val="24"/>
        </w:rPr>
      </w:pPr>
      <w:r>
        <w:rPr>
          <w:rFonts w:hint="eastAsia" w:ascii="宋体" w:cs="宋体"/>
          <w:kern w:val="0"/>
          <w:sz w:val="24"/>
          <w:szCs w:val="24"/>
        </w:rPr>
        <w:t xml:space="preserve">按照 DL/T 679 规定的合格项目适用范围从事焊接工作，取得涵盖该项目材质规格材料焊接项目的证书。 </w:t>
      </w:r>
    </w:p>
    <w:p>
      <w:pPr>
        <w:pStyle w:val="20"/>
        <w:numPr>
          <w:ilvl w:val="0"/>
          <w:numId w:val="17"/>
        </w:numPr>
        <w:tabs>
          <w:tab w:val="left" w:pos="420"/>
          <w:tab w:val="clear" w:pos="0"/>
        </w:tabs>
        <w:spacing w:line="360" w:lineRule="auto"/>
        <w:ind w:left="0" w:leftChars="0" w:firstLine="420" w:firstLineChars="0"/>
        <w:rPr>
          <w:rFonts w:ascii="宋体" w:cs="宋体"/>
          <w:kern w:val="0"/>
          <w:sz w:val="24"/>
          <w:szCs w:val="24"/>
        </w:rPr>
      </w:pPr>
      <w:r>
        <w:rPr>
          <w:rFonts w:hint="eastAsia" w:ascii="宋体" w:cs="宋体"/>
          <w:kern w:val="0"/>
          <w:sz w:val="24"/>
          <w:szCs w:val="24"/>
        </w:rPr>
        <w:t>从事光谱检测的人员，应取得中级或以上专业技术资格。</w:t>
      </w:r>
    </w:p>
    <w:p>
      <w:pPr>
        <w:pStyle w:val="20"/>
        <w:numPr>
          <w:ilvl w:val="0"/>
          <w:numId w:val="17"/>
        </w:numPr>
        <w:tabs>
          <w:tab w:val="left" w:pos="420"/>
          <w:tab w:val="clear" w:pos="0"/>
        </w:tabs>
        <w:spacing w:line="360" w:lineRule="auto"/>
        <w:ind w:left="0" w:leftChars="0" w:firstLine="420" w:firstLineChars="0"/>
        <w:rPr>
          <w:rFonts w:ascii="宋体" w:cs="宋体"/>
          <w:kern w:val="0"/>
          <w:sz w:val="24"/>
          <w:szCs w:val="24"/>
        </w:rPr>
      </w:pPr>
      <w:r>
        <w:rPr>
          <w:rFonts w:hint="eastAsia" w:ascii="宋体" w:cs="宋体"/>
          <w:kern w:val="0"/>
          <w:sz w:val="24"/>
          <w:szCs w:val="24"/>
        </w:rPr>
        <w:t>评定检测结果，签署无损检测报告的人员应由Ⅱ级及以上人员担任。</w:t>
      </w:r>
    </w:p>
    <w:p>
      <w:pPr>
        <w:pStyle w:val="20"/>
        <w:numPr>
          <w:ilvl w:val="0"/>
          <w:numId w:val="17"/>
        </w:numPr>
        <w:tabs>
          <w:tab w:val="left" w:pos="420"/>
          <w:tab w:val="clear" w:pos="0"/>
        </w:tabs>
        <w:spacing w:line="360" w:lineRule="auto"/>
        <w:ind w:left="0" w:leftChars="0" w:firstLine="420" w:firstLineChars="0"/>
        <w:rPr>
          <w:rFonts w:ascii="宋体" w:cs="宋体"/>
          <w:kern w:val="0"/>
          <w:sz w:val="24"/>
          <w:szCs w:val="24"/>
        </w:rPr>
      </w:pPr>
      <w:r>
        <w:rPr>
          <w:rFonts w:hint="eastAsia" w:ascii="宋体" w:cs="宋体"/>
          <w:kern w:val="0"/>
          <w:sz w:val="24"/>
          <w:szCs w:val="24"/>
        </w:rPr>
        <w:t xml:space="preserve">焊接热处理操作人员应具备初中以上文化程度，经专门培训考核并取得由质量技术监督局颁发的合格证书。 </w:t>
      </w:r>
    </w:p>
    <w:p>
      <w:pPr>
        <w:pStyle w:val="20"/>
        <w:numPr>
          <w:ilvl w:val="0"/>
          <w:numId w:val="17"/>
        </w:numPr>
        <w:tabs>
          <w:tab w:val="left" w:pos="420"/>
          <w:tab w:val="clear" w:pos="0"/>
        </w:tabs>
        <w:spacing w:line="360" w:lineRule="auto"/>
        <w:ind w:left="0" w:leftChars="0" w:firstLine="420" w:firstLineChars="0"/>
        <w:rPr>
          <w:rFonts w:ascii="宋体" w:cs="宋体"/>
          <w:kern w:val="0"/>
          <w:sz w:val="24"/>
          <w:szCs w:val="24"/>
        </w:rPr>
      </w:pPr>
      <w:r>
        <w:rPr>
          <w:rFonts w:hint="eastAsia" w:ascii="宋体" w:cs="宋体"/>
          <w:kern w:val="0"/>
          <w:sz w:val="24"/>
          <w:szCs w:val="24"/>
        </w:rPr>
        <w:t>焊工、无损检测人员、光谱检测人员、热处理人员等所有人员的资格证书应在有效期内。</w:t>
      </w:r>
    </w:p>
    <w:p>
      <w:pPr>
        <w:pStyle w:val="20"/>
        <w:numPr>
          <w:ilvl w:val="0"/>
          <w:numId w:val="17"/>
        </w:numPr>
        <w:tabs>
          <w:tab w:val="left" w:pos="420"/>
          <w:tab w:val="clear" w:pos="0"/>
        </w:tabs>
        <w:spacing w:line="360" w:lineRule="auto"/>
        <w:ind w:left="0" w:leftChars="0" w:firstLine="420" w:firstLineChars="0"/>
        <w:rPr>
          <w:rFonts w:ascii="宋体" w:cs="宋体"/>
          <w:kern w:val="0"/>
          <w:sz w:val="24"/>
          <w:szCs w:val="24"/>
        </w:rPr>
      </w:pPr>
      <w:r>
        <w:rPr>
          <w:rFonts w:hint="eastAsia" w:ascii="宋体" w:cs="宋体"/>
          <w:kern w:val="0"/>
          <w:sz w:val="24"/>
          <w:szCs w:val="24"/>
        </w:rPr>
        <w:t>供应商进入采购人现场的人员须有工伤保险或不低于100万保额的有效</w:t>
      </w:r>
    </w:p>
    <w:p>
      <w:pPr>
        <w:pStyle w:val="20"/>
        <w:tabs>
          <w:tab w:val="left" w:pos="420"/>
        </w:tabs>
        <w:spacing w:line="360" w:lineRule="auto"/>
        <w:ind w:firstLine="0" w:firstLineChars="0"/>
        <w:rPr>
          <w:rFonts w:ascii="宋体" w:cs="宋体"/>
          <w:kern w:val="0"/>
          <w:sz w:val="24"/>
          <w:szCs w:val="24"/>
        </w:rPr>
      </w:pPr>
      <w:r>
        <w:rPr>
          <w:rFonts w:hint="eastAsia" w:ascii="宋体" w:cs="宋体"/>
          <w:kern w:val="0"/>
          <w:sz w:val="24"/>
          <w:szCs w:val="24"/>
        </w:rPr>
        <w:t>保险。</w:t>
      </w:r>
    </w:p>
    <w:p>
      <w:pPr>
        <w:pStyle w:val="2"/>
        <w:numPr>
          <w:ilvl w:val="0"/>
          <w:numId w:val="1"/>
        </w:numPr>
        <w:spacing w:before="0" w:after="0" w:line="360" w:lineRule="auto"/>
        <w:ind w:left="482" w:hanging="482" w:hangingChars="200"/>
        <w:rPr>
          <w:sz w:val="24"/>
          <w:szCs w:val="24"/>
        </w:rPr>
      </w:pPr>
      <w:bookmarkStart w:id="17" w:name="_Toc17582031"/>
      <w:bookmarkStart w:id="18" w:name="_Toc30282"/>
      <w:r>
        <w:rPr>
          <w:rFonts w:hint="eastAsia"/>
          <w:sz w:val="24"/>
          <w:szCs w:val="24"/>
        </w:rPr>
        <w:t>双方责任</w:t>
      </w:r>
      <w:bookmarkEnd w:id="17"/>
      <w:r>
        <w:rPr>
          <w:rFonts w:hint="eastAsia" w:ascii="宋体" w:hAnsi="宋体" w:eastAsia="宋体" w:cs="宋体"/>
          <w:sz w:val="24"/>
          <w:szCs w:val="24"/>
        </w:rPr>
        <w:t>。</w:t>
      </w:r>
      <w:bookmarkEnd w:id="18"/>
    </w:p>
    <w:p>
      <w:pPr>
        <w:pStyle w:val="20"/>
        <w:numPr>
          <w:ilvl w:val="0"/>
          <w:numId w:val="18"/>
        </w:numPr>
        <w:spacing w:line="360" w:lineRule="auto"/>
        <w:ind w:firstLineChars="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采购人责任</w:t>
      </w:r>
    </w:p>
    <w:p>
      <w:pPr>
        <w:pStyle w:val="20"/>
        <w:numPr>
          <w:ilvl w:val="0"/>
          <w:numId w:val="19"/>
        </w:numPr>
        <w:spacing w:line="360" w:lineRule="auto"/>
        <w:ind w:left="845" w:firstLineChars="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审核供应商提交的相关方案。</w:t>
      </w:r>
    </w:p>
    <w:p>
      <w:pPr>
        <w:pStyle w:val="20"/>
        <w:numPr>
          <w:ilvl w:val="0"/>
          <w:numId w:val="19"/>
        </w:numPr>
        <w:spacing w:line="360" w:lineRule="auto"/>
        <w:ind w:left="845" w:firstLineChars="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指派专人负责项目的协调、联系。</w:t>
      </w:r>
    </w:p>
    <w:p>
      <w:pPr>
        <w:pStyle w:val="20"/>
        <w:numPr>
          <w:ilvl w:val="0"/>
          <w:numId w:val="19"/>
        </w:numPr>
        <w:spacing w:line="360" w:lineRule="auto"/>
        <w:ind w:left="845" w:firstLineChars="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负责对供应商的项目进行验收。</w:t>
      </w:r>
    </w:p>
    <w:p>
      <w:pPr>
        <w:pStyle w:val="20"/>
        <w:numPr>
          <w:ilvl w:val="0"/>
          <w:numId w:val="18"/>
        </w:numPr>
        <w:spacing w:line="360" w:lineRule="auto"/>
        <w:ind w:firstLineChars="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供应商责任</w:t>
      </w:r>
    </w:p>
    <w:p>
      <w:pPr>
        <w:pStyle w:val="20"/>
        <w:numPr>
          <w:ilvl w:val="0"/>
          <w:numId w:val="20"/>
        </w:numPr>
        <w:spacing w:line="360" w:lineRule="auto"/>
        <w:ind w:left="845" w:firstLineChars="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所需的工器具、材料、设备、人员等由供应商提供。</w:t>
      </w:r>
    </w:p>
    <w:p>
      <w:pPr>
        <w:pStyle w:val="20"/>
        <w:numPr>
          <w:ilvl w:val="0"/>
          <w:numId w:val="20"/>
        </w:numPr>
        <w:spacing w:line="360" w:lineRule="auto"/>
        <w:ind w:left="845" w:firstLineChars="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供应商在管网进行探伤时，要按规范要求做好周边环境的隔离和警戒。</w:t>
      </w:r>
    </w:p>
    <w:p>
      <w:pPr>
        <w:pStyle w:val="20"/>
        <w:numPr>
          <w:ilvl w:val="0"/>
          <w:numId w:val="20"/>
        </w:numPr>
        <w:spacing w:line="360" w:lineRule="auto"/>
        <w:ind w:left="845" w:firstLineChars="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供货符合要求，满足现场需要，无质量缺陷，经采购人验收合格后使用。</w:t>
      </w:r>
    </w:p>
    <w:p>
      <w:pPr>
        <w:pStyle w:val="20"/>
        <w:numPr>
          <w:ilvl w:val="0"/>
          <w:numId w:val="20"/>
        </w:numPr>
        <w:spacing w:line="360" w:lineRule="auto"/>
        <w:ind w:left="845" w:firstLineChars="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供应商负责施工的部分，因项目研究实施过程中质量不过关造成的缺陷</w:t>
      </w:r>
    </w:p>
    <w:p>
      <w:pPr>
        <w:pStyle w:val="20"/>
        <w:spacing w:line="360" w:lineRule="auto"/>
        <w:ind w:firstLine="0" w:firstLineChars="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施工质量出现问题后，应及时响应，24h内技术人员达到现场，并消除缺陷。</w:t>
      </w:r>
    </w:p>
    <w:p>
      <w:pPr>
        <w:pStyle w:val="20"/>
        <w:numPr>
          <w:ilvl w:val="0"/>
          <w:numId w:val="20"/>
        </w:numPr>
        <w:spacing w:line="360" w:lineRule="auto"/>
        <w:ind w:left="845" w:firstLineChars="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由于施工质量问题造成的缺陷，供应商免费处理。 </w:t>
      </w:r>
    </w:p>
    <w:p>
      <w:pPr>
        <w:pStyle w:val="2"/>
        <w:numPr>
          <w:ilvl w:val="0"/>
          <w:numId w:val="1"/>
        </w:numPr>
        <w:spacing w:before="0" w:after="0" w:line="360" w:lineRule="auto"/>
        <w:ind w:left="482" w:hanging="482" w:hangingChars="200"/>
        <w:rPr>
          <w:sz w:val="24"/>
          <w:szCs w:val="24"/>
        </w:rPr>
      </w:pPr>
      <w:bookmarkStart w:id="19" w:name="_Toc17582032"/>
      <w:bookmarkStart w:id="20" w:name="_Toc6552"/>
      <w:r>
        <w:rPr>
          <w:rFonts w:hint="eastAsia"/>
          <w:sz w:val="24"/>
          <w:szCs w:val="24"/>
        </w:rPr>
        <w:t>考核内容</w:t>
      </w:r>
      <w:bookmarkEnd w:id="19"/>
      <w:bookmarkEnd w:id="20"/>
    </w:p>
    <w:p>
      <w:pPr>
        <w:pStyle w:val="20"/>
        <w:numPr>
          <w:ilvl w:val="0"/>
          <w:numId w:val="21"/>
        </w:numPr>
        <w:spacing w:line="360" w:lineRule="auto"/>
        <w:ind w:left="845" w:firstLineChars="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供应商负责施工的部分，因实施过程中质量不过关造成的缺陷，按合同</w:t>
      </w:r>
    </w:p>
    <w:p>
      <w:pPr>
        <w:pStyle w:val="20"/>
        <w:spacing w:line="360" w:lineRule="auto"/>
        <w:ind w:firstLine="0" w:firstLineChars="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金额的</w:t>
      </w:r>
      <w:r>
        <w:rPr>
          <w:rFonts w:ascii="宋体" w:hAnsi="宋体" w:eastAsia="宋体" w:cs="宋体"/>
          <w:sz w:val="24"/>
          <w:szCs w:val="24"/>
        </w:rPr>
        <w:t>1</w:t>
      </w:r>
      <w:r>
        <w:rPr>
          <w:rFonts w:hint="eastAsia" w:ascii="宋体" w:hAnsi="宋体" w:eastAsia="宋体" w:cs="宋体"/>
          <w:sz w:val="24"/>
          <w:szCs w:val="24"/>
        </w:rPr>
        <w:t>0%/次扣罚，如供应商不履行保修义务，采购人有权另外委托其他队伍，产生费用由供应商负责。</w:t>
      </w:r>
    </w:p>
    <w:p>
      <w:pPr>
        <w:pStyle w:val="20"/>
        <w:numPr>
          <w:ilvl w:val="0"/>
          <w:numId w:val="21"/>
        </w:numPr>
        <w:spacing w:line="360" w:lineRule="auto"/>
        <w:ind w:left="845" w:firstLineChars="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供货期超过供应商响应文件约定日期，扣罚合同款0.5%/天。</w:t>
      </w:r>
    </w:p>
    <w:p>
      <w:pPr>
        <w:pStyle w:val="20"/>
        <w:numPr>
          <w:ilvl w:val="0"/>
          <w:numId w:val="21"/>
        </w:numPr>
        <w:spacing w:line="360" w:lineRule="auto"/>
        <w:ind w:left="845" w:firstLineChars="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供应商在项目实施过程中，不得隐瞒对相关系统所造成的设备缺陷及隐</w:t>
      </w:r>
    </w:p>
    <w:p>
      <w:pPr>
        <w:pStyle w:val="20"/>
        <w:spacing w:line="360" w:lineRule="auto"/>
        <w:ind w:firstLine="0" w:firstLineChars="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患，否则每发现一处扣罚供应商2000元。</w:t>
      </w:r>
    </w:p>
    <w:p>
      <w:pPr>
        <w:pStyle w:val="20"/>
        <w:numPr>
          <w:ilvl w:val="0"/>
          <w:numId w:val="21"/>
        </w:numPr>
        <w:spacing w:line="360" w:lineRule="auto"/>
        <w:ind w:left="845" w:firstLineChars="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项目实施结束后，供应商及时提供相关资料报告，如未提供合格的资料</w:t>
      </w:r>
    </w:p>
    <w:p>
      <w:pPr>
        <w:pStyle w:val="20"/>
        <w:spacing w:line="360" w:lineRule="auto"/>
        <w:ind w:firstLine="0" w:firstLineChars="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报告，每发现一处，考核5%合同款。</w:t>
      </w:r>
    </w:p>
    <w:p>
      <w:pPr>
        <w:pStyle w:val="20"/>
        <w:numPr>
          <w:ilvl w:val="0"/>
          <w:numId w:val="21"/>
        </w:numPr>
        <w:spacing w:line="360" w:lineRule="auto"/>
        <w:ind w:left="845" w:firstLineChars="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供应商人员现场施工出现违反安全文明管理规定的行为，按照采购人安</w:t>
      </w:r>
    </w:p>
    <w:p>
      <w:pPr>
        <w:pStyle w:val="20"/>
        <w:spacing w:line="360" w:lineRule="auto"/>
        <w:ind w:firstLine="0" w:firstLineChars="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全文明管理制度执行进行考核。</w:t>
      </w:r>
    </w:p>
    <w:p>
      <w:pPr>
        <w:pStyle w:val="20"/>
        <w:numPr>
          <w:ilvl w:val="0"/>
          <w:numId w:val="21"/>
        </w:numPr>
        <w:spacing w:line="360" w:lineRule="auto"/>
        <w:ind w:left="845" w:firstLineChars="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供应商应在项目施工将所需的材料运至采购人，由采购人专业人员检查</w:t>
      </w:r>
    </w:p>
    <w:p>
      <w:pPr>
        <w:pStyle w:val="20"/>
        <w:spacing w:line="360" w:lineRule="auto"/>
        <w:ind w:firstLine="0" w:firstLineChars="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核对，如材料不齐全、或质量不合格、或不能按时提交，扣罚2000元/次。</w:t>
      </w:r>
    </w:p>
    <w:sectPr>
      <w:footerReference r:id="rId3" w:type="default"/>
      <w:pgSz w:w="11906" w:h="16838"/>
      <w:pgMar w:top="1440" w:right="1797" w:bottom="1440" w:left="1797" w:header="851" w:footer="992" w:gutter="0"/>
      <w:pgNumType w:fmt="numberInDash" w:start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r萀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288661058"/>
    </w:sdtPr>
    <w:sdtContent>
      <w:p>
        <w:pPr>
          <w:pStyle w:val="10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-</w:t>
        </w:r>
        <w:r>
          <w:t xml:space="preserve"> 13 -</w:t>
        </w:r>
        <w: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190723A"/>
    <w:multiLevelType w:val="singleLevel"/>
    <w:tmpl w:val="8190723A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9000B5D8"/>
    <w:multiLevelType w:val="singleLevel"/>
    <w:tmpl w:val="9000B5D8"/>
    <w:lvl w:ilvl="0" w:tentative="0">
      <w:start w:val="1"/>
      <w:numFmt w:val="decimal"/>
      <w:lvlText w:val="%1."/>
      <w:lvlJc w:val="left"/>
      <w:pPr>
        <w:ind w:left="851" w:hanging="425"/>
      </w:pPr>
      <w:rPr>
        <w:rFonts w:hint="default"/>
      </w:rPr>
    </w:lvl>
  </w:abstractNum>
  <w:abstractNum w:abstractNumId="2">
    <w:nsid w:val="A5793157"/>
    <w:multiLevelType w:val="singleLevel"/>
    <w:tmpl w:val="A579315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AA2B681E"/>
    <w:multiLevelType w:val="singleLevel"/>
    <w:tmpl w:val="AA2B681E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4">
    <w:nsid w:val="ABDB79F4"/>
    <w:multiLevelType w:val="singleLevel"/>
    <w:tmpl w:val="ABDB79F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B430924B"/>
    <w:multiLevelType w:val="singleLevel"/>
    <w:tmpl w:val="B430924B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6">
    <w:nsid w:val="BE80CCD7"/>
    <w:multiLevelType w:val="singleLevel"/>
    <w:tmpl w:val="BE80CCD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EDA8AAAC"/>
    <w:multiLevelType w:val="singleLevel"/>
    <w:tmpl w:val="EDA8AAAC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8">
    <w:nsid w:val="F1D02C28"/>
    <w:multiLevelType w:val="multilevel"/>
    <w:tmpl w:val="F1D02C28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abstractNum w:abstractNumId="9">
    <w:nsid w:val="F4205168"/>
    <w:multiLevelType w:val="multilevel"/>
    <w:tmpl w:val="F4205168"/>
    <w:lvl w:ilvl="0" w:tentative="0">
      <w:start w:val="1"/>
      <w:numFmt w:val="decimal"/>
      <w:suff w:val="nothing"/>
      <w:lvlText w:val="2.%1"/>
      <w:lvlJc w:val="left"/>
      <w:pPr>
        <w:tabs>
          <w:tab w:val="left" w:pos="0"/>
        </w:tabs>
        <w:ind w:left="0" w:firstLine="420"/>
      </w:pPr>
      <w:rPr>
        <w:rFonts w:hint="default" w:ascii="宋体" w:hAnsi="宋体" w:eastAsia="宋体" w:cs="宋体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10">
    <w:nsid w:val="F6209658"/>
    <w:multiLevelType w:val="singleLevel"/>
    <w:tmpl w:val="F6209658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1">
    <w:nsid w:val="FBFD4A77"/>
    <w:multiLevelType w:val="singleLevel"/>
    <w:tmpl w:val="FBFD4A77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2">
    <w:nsid w:val="104C480D"/>
    <w:multiLevelType w:val="singleLevel"/>
    <w:tmpl w:val="104C480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3">
    <w:nsid w:val="193A4223"/>
    <w:multiLevelType w:val="singleLevel"/>
    <w:tmpl w:val="193A4223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4">
    <w:nsid w:val="32CCF928"/>
    <w:multiLevelType w:val="singleLevel"/>
    <w:tmpl w:val="32CCF928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5">
    <w:nsid w:val="3C41CA60"/>
    <w:multiLevelType w:val="singleLevel"/>
    <w:tmpl w:val="3C41CA60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6">
    <w:nsid w:val="3E3F460B"/>
    <w:multiLevelType w:val="multilevel"/>
    <w:tmpl w:val="3E3F460B"/>
    <w:lvl w:ilvl="0" w:tentative="0">
      <w:start w:val="1"/>
      <w:numFmt w:val="chineseCountingThousand"/>
      <w:lvlText w:val="%1、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4E491CD2"/>
    <w:multiLevelType w:val="multilevel"/>
    <w:tmpl w:val="4E491CD2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5CC53773"/>
    <w:multiLevelType w:val="multilevel"/>
    <w:tmpl w:val="5CC53773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611AB49E"/>
    <w:multiLevelType w:val="singleLevel"/>
    <w:tmpl w:val="611AB49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0">
    <w:nsid w:val="71BE6213"/>
    <w:multiLevelType w:val="multilevel"/>
    <w:tmpl w:val="71BE6213"/>
    <w:lvl w:ilvl="0" w:tentative="0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6"/>
  </w:num>
  <w:num w:numId="2">
    <w:abstractNumId w:val="10"/>
  </w:num>
  <w:num w:numId="3">
    <w:abstractNumId w:val="18"/>
  </w:num>
  <w:num w:numId="4">
    <w:abstractNumId w:val="6"/>
  </w:num>
  <w:num w:numId="5">
    <w:abstractNumId w:val="19"/>
  </w:num>
  <w:num w:numId="6">
    <w:abstractNumId w:val="2"/>
  </w:num>
  <w:num w:numId="7">
    <w:abstractNumId w:val="4"/>
  </w:num>
  <w:num w:numId="8">
    <w:abstractNumId w:val="12"/>
  </w:num>
  <w:num w:numId="9">
    <w:abstractNumId w:val="14"/>
  </w:num>
  <w:num w:numId="10">
    <w:abstractNumId w:val="11"/>
  </w:num>
  <w:num w:numId="11">
    <w:abstractNumId w:val="8"/>
  </w:num>
  <w:num w:numId="12">
    <w:abstractNumId w:val="7"/>
  </w:num>
  <w:num w:numId="13">
    <w:abstractNumId w:val="17"/>
  </w:num>
  <w:num w:numId="14">
    <w:abstractNumId w:val="0"/>
  </w:num>
  <w:num w:numId="15">
    <w:abstractNumId w:val="3"/>
  </w:num>
  <w:num w:numId="16">
    <w:abstractNumId w:val="1"/>
  </w:num>
  <w:num w:numId="17">
    <w:abstractNumId w:val="9"/>
  </w:num>
  <w:num w:numId="18">
    <w:abstractNumId w:val="20"/>
  </w:num>
  <w:num w:numId="19">
    <w:abstractNumId w:val="15"/>
  </w:num>
  <w:num w:numId="20">
    <w:abstractNumId w:val="5"/>
  </w:num>
  <w:num w:numId="2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3A25"/>
    <w:rsid w:val="00001F2E"/>
    <w:rsid w:val="00002C94"/>
    <w:rsid w:val="00004D1A"/>
    <w:rsid w:val="000064D8"/>
    <w:rsid w:val="000107F7"/>
    <w:rsid w:val="00015F67"/>
    <w:rsid w:val="00015FB8"/>
    <w:rsid w:val="00017663"/>
    <w:rsid w:val="00023D37"/>
    <w:rsid w:val="000274FA"/>
    <w:rsid w:val="000370CB"/>
    <w:rsid w:val="000421BE"/>
    <w:rsid w:val="000421DC"/>
    <w:rsid w:val="000458E5"/>
    <w:rsid w:val="00057E7D"/>
    <w:rsid w:val="000662E9"/>
    <w:rsid w:val="00074118"/>
    <w:rsid w:val="00083E7B"/>
    <w:rsid w:val="000965AD"/>
    <w:rsid w:val="0009737B"/>
    <w:rsid w:val="000A701A"/>
    <w:rsid w:val="000A78C7"/>
    <w:rsid w:val="000B2D11"/>
    <w:rsid w:val="000C01B8"/>
    <w:rsid w:val="000C3657"/>
    <w:rsid w:val="000C7D7E"/>
    <w:rsid w:val="000D3316"/>
    <w:rsid w:val="000D3500"/>
    <w:rsid w:val="000D38C7"/>
    <w:rsid w:val="000D4477"/>
    <w:rsid w:val="000E006D"/>
    <w:rsid w:val="000E6A3E"/>
    <w:rsid w:val="000E7786"/>
    <w:rsid w:val="000F0951"/>
    <w:rsid w:val="000F720B"/>
    <w:rsid w:val="001022EC"/>
    <w:rsid w:val="00102B7B"/>
    <w:rsid w:val="0011632C"/>
    <w:rsid w:val="001212B8"/>
    <w:rsid w:val="00123341"/>
    <w:rsid w:val="001234F4"/>
    <w:rsid w:val="00136750"/>
    <w:rsid w:val="0014686C"/>
    <w:rsid w:val="00152A9B"/>
    <w:rsid w:val="00157F59"/>
    <w:rsid w:val="001704B1"/>
    <w:rsid w:val="00174367"/>
    <w:rsid w:val="00180A60"/>
    <w:rsid w:val="00180B08"/>
    <w:rsid w:val="00190B0A"/>
    <w:rsid w:val="001927E0"/>
    <w:rsid w:val="001A0D6D"/>
    <w:rsid w:val="001B1CBE"/>
    <w:rsid w:val="001C3D97"/>
    <w:rsid w:val="001C6C58"/>
    <w:rsid w:val="001E2051"/>
    <w:rsid w:val="00200371"/>
    <w:rsid w:val="0020205F"/>
    <w:rsid w:val="00203668"/>
    <w:rsid w:val="00210EF7"/>
    <w:rsid w:val="00211695"/>
    <w:rsid w:val="00226F58"/>
    <w:rsid w:val="002325E1"/>
    <w:rsid w:val="00233A91"/>
    <w:rsid w:val="002558B5"/>
    <w:rsid w:val="002614E3"/>
    <w:rsid w:val="00265ADB"/>
    <w:rsid w:val="00273266"/>
    <w:rsid w:val="00276B6F"/>
    <w:rsid w:val="0028348C"/>
    <w:rsid w:val="00286186"/>
    <w:rsid w:val="00293AA2"/>
    <w:rsid w:val="002A4312"/>
    <w:rsid w:val="002A6C0F"/>
    <w:rsid w:val="002B2FBE"/>
    <w:rsid w:val="002C06F8"/>
    <w:rsid w:val="002C0C04"/>
    <w:rsid w:val="002D03BE"/>
    <w:rsid w:val="002F7212"/>
    <w:rsid w:val="00304099"/>
    <w:rsid w:val="00306C5A"/>
    <w:rsid w:val="00313677"/>
    <w:rsid w:val="0032204B"/>
    <w:rsid w:val="003226CE"/>
    <w:rsid w:val="003244BF"/>
    <w:rsid w:val="00336305"/>
    <w:rsid w:val="00352899"/>
    <w:rsid w:val="00355209"/>
    <w:rsid w:val="00360906"/>
    <w:rsid w:val="00360F9B"/>
    <w:rsid w:val="00363870"/>
    <w:rsid w:val="00391217"/>
    <w:rsid w:val="003917E4"/>
    <w:rsid w:val="00394B0A"/>
    <w:rsid w:val="00395C97"/>
    <w:rsid w:val="00397D83"/>
    <w:rsid w:val="003A33F0"/>
    <w:rsid w:val="003A622F"/>
    <w:rsid w:val="003A794B"/>
    <w:rsid w:val="003B4275"/>
    <w:rsid w:val="003B5ADD"/>
    <w:rsid w:val="003B6520"/>
    <w:rsid w:val="003C1445"/>
    <w:rsid w:val="003C4AA6"/>
    <w:rsid w:val="003C4ACD"/>
    <w:rsid w:val="003C4CAD"/>
    <w:rsid w:val="003C5CAE"/>
    <w:rsid w:val="003C69C9"/>
    <w:rsid w:val="003C7BE5"/>
    <w:rsid w:val="003D2A4F"/>
    <w:rsid w:val="003D67A3"/>
    <w:rsid w:val="003E1716"/>
    <w:rsid w:val="003E26F8"/>
    <w:rsid w:val="003F0C47"/>
    <w:rsid w:val="003F2FD9"/>
    <w:rsid w:val="004162E0"/>
    <w:rsid w:val="00420C3B"/>
    <w:rsid w:val="0042126B"/>
    <w:rsid w:val="004218BA"/>
    <w:rsid w:val="0042603F"/>
    <w:rsid w:val="0043090B"/>
    <w:rsid w:val="004348AF"/>
    <w:rsid w:val="00436E0C"/>
    <w:rsid w:val="00437E60"/>
    <w:rsid w:val="00441DC4"/>
    <w:rsid w:val="00442363"/>
    <w:rsid w:val="00451D3D"/>
    <w:rsid w:val="00454BE4"/>
    <w:rsid w:val="004623BC"/>
    <w:rsid w:val="0046349F"/>
    <w:rsid w:val="00470AA6"/>
    <w:rsid w:val="0047151D"/>
    <w:rsid w:val="00472F05"/>
    <w:rsid w:val="004777EA"/>
    <w:rsid w:val="004842B9"/>
    <w:rsid w:val="0048541A"/>
    <w:rsid w:val="004927BC"/>
    <w:rsid w:val="00495573"/>
    <w:rsid w:val="004A1B4D"/>
    <w:rsid w:val="004A383B"/>
    <w:rsid w:val="004A73F6"/>
    <w:rsid w:val="004A7989"/>
    <w:rsid w:val="004B77DC"/>
    <w:rsid w:val="004B7800"/>
    <w:rsid w:val="004C5C79"/>
    <w:rsid w:val="004C6AA5"/>
    <w:rsid w:val="004D0F6A"/>
    <w:rsid w:val="004E5C52"/>
    <w:rsid w:val="004F186E"/>
    <w:rsid w:val="00511C6E"/>
    <w:rsid w:val="005212A6"/>
    <w:rsid w:val="00524BF6"/>
    <w:rsid w:val="00526CFB"/>
    <w:rsid w:val="005315F9"/>
    <w:rsid w:val="00533929"/>
    <w:rsid w:val="00534073"/>
    <w:rsid w:val="00535962"/>
    <w:rsid w:val="00535FB9"/>
    <w:rsid w:val="005428A4"/>
    <w:rsid w:val="00543588"/>
    <w:rsid w:val="0054620F"/>
    <w:rsid w:val="005561F9"/>
    <w:rsid w:val="00556AB9"/>
    <w:rsid w:val="00561780"/>
    <w:rsid w:val="00584764"/>
    <w:rsid w:val="00592349"/>
    <w:rsid w:val="00592FE9"/>
    <w:rsid w:val="0059498C"/>
    <w:rsid w:val="00596FB6"/>
    <w:rsid w:val="00597D13"/>
    <w:rsid w:val="005A054E"/>
    <w:rsid w:val="005B041A"/>
    <w:rsid w:val="005B5529"/>
    <w:rsid w:val="005B5FD5"/>
    <w:rsid w:val="005C26E9"/>
    <w:rsid w:val="005C3F09"/>
    <w:rsid w:val="005C5349"/>
    <w:rsid w:val="005D0C0E"/>
    <w:rsid w:val="005D3048"/>
    <w:rsid w:val="005E1296"/>
    <w:rsid w:val="005E2F14"/>
    <w:rsid w:val="005F2AAC"/>
    <w:rsid w:val="0061071B"/>
    <w:rsid w:val="00610D2A"/>
    <w:rsid w:val="0061472E"/>
    <w:rsid w:val="006162D7"/>
    <w:rsid w:val="006230F1"/>
    <w:rsid w:val="00655471"/>
    <w:rsid w:val="00662A4E"/>
    <w:rsid w:val="00663839"/>
    <w:rsid w:val="00666307"/>
    <w:rsid w:val="00666909"/>
    <w:rsid w:val="00670A31"/>
    <w:rsid w:val="006718EF"/>
    <w:rsid w:val="00674436"/>
    <w:rsid w:val="00680F17"/>
    <w:rsid w:val="0068113F"/>
    <w:rsid w:val="00695279"/>
    <w:rsid w:val="00696A90"/>
    <w:rsid w:val="006A0BDC"/>
    <w:rsid w:val="006B1EF6"/>
    <w:rsid w:val="006B303A"/>
    <w:rsid w:val="006C4F6F"/>
    <w:rsid w:val="006C5E10"/>
    <w:rsid w:val="006E095C"/>
    <w:rsid w:val="006E37A6"/>
    <w:rsid w:val="006E5686"/>
    <w:rsid w:val="006E590B"/>
    <w:rsid w:val="006F0ED6"/>
    <w:rsid w:val="00700747"/>
    <w:rsid w:val="0070655C"/>
    <w:rsid w:val="00707A9D"/>
    <w:rsid w:val="00711127"/>
    <w:rsid w:val="007111B2"/>
    <w:rsid w:val="0071445B"/>
    <w:rsid w:val="00714D18"/>
    <w:rsid w:val="0071559B"/>
    <w:rsid w:val="00715D07"/>
    <w:rsid w:val="00727240"/>
    <w:rsid w:val="00732468"/>
    <w:rsid w:val="00736769"/>
    <w:rsid w:val="00745A1A"/>
    <w:rsid w:val="00750589"/>
    <w:rsid w:val="00754DFA"/>
    <w:rsid w:val="00754EAE"/>
    <w:rsid w:val="00755776"/>
    <w:rsid w:val="0076026F"/>
    <w:rsid w:val="00760E0F"/>
    <w:rsid w:val="007638AE"/>
    <w:rsid w:val="00767747"/>
    <w:rsid w:val="00785241"/>
    <w:rsid w:val="007874B4"/>
    <w:rsid w:val="00790B39"/>
    <w:rsid w:val="00794554"/>
    <w:rsid w:val="007A0044"/>
    <w:rsid w:val="007A179F"/>
    <w:rsid w:val="007B218A"/>
    <w:rsid w:val="007E34C8"/>
    <w:rsid w:val="007E4D72"/>
    <w:rsid w:val="007F2C8F"/>
    <w:rsid w:val="007F6E45"/>
    <w:rsid w:val="0080115B"/>
    <w:rsid w:val="008046F0"/>
    <w:rsid w:val="008155CF"/>
    <w:rsid w:val="00820420"/>
    <w:rsid w:val="0082293B"/>
    <w:rsid w:val="008322AD"/>
    <w:rsid w:val="00842BA9"/>
    <w:rsid w:val="0084446D"/>
    <w:rsid w:val="008518DA"/>
    <w:rsid w:val="00853194"/>
    <w:rsid w:val="0085369E"/>
    <w:rsid w:val="008545CA"/>
    <w:rsid w:val="0088194D"/>
    <w:rsid w:val="00882E70"/>
    <w:rsid w:val="00883E3D"/>
    <w:rsid w:val="0088776E"/>
    <w:rsid w:val="0089757F"/>
    <w:rsid w:val="008A33BC"/>
    <w:rsid w:val="008B28CE"/>
    <w:rsid w:val="008B73E6"/>
    <w:rsid w:val="008C039C"/>
    <w:rsid w:val="008C060B"/>
    <w:rsid w:val="008C0A09"/>
    <w:rsid w:val="008C34EB"/>
    <w:rsid w:val="008C44EA"/>
    <w:rsid w:val="008D01A9"/>
    <w:rsid w:val="008D19BA"/>
    <w:rsid w:val="008D3E26"/>
    <w:rsid w:val="008D5074"/>
    <w:rsid w:val="008D5A67"/>
    <w:rsid w:val="008D66DB"/>
    <w:rsid w:val="008E1C4C"/>
    <w:rsid w:val="008E3C9E"/>
    <w:rsid w:val="008E74B5"/>
    <w:rsid w:val="008F15A8"/>
    <w:rsid w:val="008F1A4E"/>
    <w:rsid w:val="00906394"/>
    <w:rsid w:val="00907F4A"/>
    <w:rsid w:val="00914011"/>
    <w:rsid w:val="009143C4"/>
    <w:rsid w:val="00916F4C"/>
    <w:rsid w:val="00920B89"/>
    <w:rsid w:val="009215B3"/>
    <w:rsid w:val="00926BE0"/>
    <w:rsid w:val="00932271"/>
    <w:rsid w:val="00936B50"/>
    <w:rsid w:val="00941A8B"/>
    <w:rsid w:val="009544C0"/>
    <w:rsid w:val="00957248"/>
    <w:rsid w:val="009600C6"/>
    <w:rsid w:val="00961214"/>
    <w:rsid w:val="00961B5A"/>
    <w:rsid w:val="00961BE2"/>
    <w:rsid w:val="009674FA"/>
    <w:rsid w:val="00970BB2"/>
    <w:rsid w:val="009763D9"/>
    <w:rsid w:val="0098367C"/>
    <w:rsid w:val="00984D98"/>
    <w:rsid w:val="0099452D"/>
    <w:rsid w:val="009A5E88"/>
    <w:rsid w:val="009B29C4"/>
    <w:rsid w:val="009B55BC"/>
    <w:rsid w:val="009C3EF5"/>
    <w:rsid w:val="009C70F1"/>
    <w:rsid w:val="009D3970"/>
    <w:rsid w:val="009D4493"/>
    <w:rsid w:val="009D4E47"/>
    <w:rsid w:val="009D5A6A"/>
    <w:rsid w:val="009E4828"/>
    <w:rsid w:val="009E7387"/>
    <w:rsid w:val="009F1DF2"/>
    <w:rsid w:val="009F4DD2"/>
    <w:rsid w:val="00A009F8"/>
    <w:rsid w:val="00A077B6"/>
    <w:rsid w:val="00A1023C"/>
    <w:rsid w:val="00A16CA5"/>
    <w:rsid w:val="00A21F6C"/>
    <w:rsid w:val="00A27103"/>
    <w:rsid w:val="00A44A49"/>
    <w:rsid w:val="00A46978"/>
    <w:rsid w:val="00A55DAB"/>
    <w:rsid w:val="00A61DC3"/>
    <w:rsid w:val="00A67461"/>
    <w:rsid w:val="00A718B8"/>
    <w:rsid w:val="00A7263C"/>
    <w:rsid w:val="00A736DE"/>
    <w:rsid w:val="00A76951"/>
    <w:rsid w:val="00A8233E"/>
    <w:rsid w:val="00A845B8"/>
    <w:rsid w:val="00A96FC7"/>
    <w:rsid w:val="00AC13FA"/>
    <w:rsid w:val="00AC39A8"/>
    <w:rsid w:val="00AC5B02"/>
    <w:rsid w:val="00AC7DE3"/>
    <w:rsid w:val="00AD4953"/>
    <w:rsid w:val="00AD7E14"/>
    <w:rsid w:val="00AE2269"/>
    <w:rsid w:val="00AE67FA"/>
    <w:rsid w:val="00AF00E3"/>
    <w:rsid w:val="00B00B08"/>
    <w:rsid w:val="00B02BF2"/>
    <w:rsid w:val="00B03D17"/>
    <w:rsid w:val="00B143DF"/>
    <w:rsid w:val="00B1585E"/>
    <w:rsid w:val="00B24BD6"/>
    <w:rsid w:val="00B3231A"/>
    <w:rsid w:val="00B4399A"/>
    <w:rsid w:val="00B46A28"/>
    <w:rsid w:val="00B61B91"/>
    <w:rsid w:val="00B64950"/>
    <w:rsid w:val="00B65AE6"/>
    <w:rsid w:val="00B82303"/>
    <w:rsid w:val="00B8282F"/>
    <w:rsid w:val="00B9280D"/>
    <w:rsid w:val="00BA2162"/>
    <w:rsid w:val="00BA7CBF"/>
    <w:rsid w:val="00BC0B93"/>
    <w:rsid w:val="00BC2D19"/>
    <w:rsid w:val="00BD103E"/>
    <w:rsid w:val="00BD35B8"/>
    <w:rsid w:val="00BD4773"/>
    <w:rsid w:val="00BE175E"/>
    <w:rsid w:val="00BE2256"/>
    <w:rsid w:val="00C13CC9"/>
    <w:rsid w:val="00C211A3"/>
    <w:rsid w:val="00C2346C"/>
    <w:rsid w:val="00C35372"/>
    <w:rsid w:val="00C358E5"/>
    <w:rsid w:val="00C37863"/>
    <w:rsid w:val="00C463A8"/>
    <w:rsid w:val="00C52A7B"/>
    <w:rsid w:val="00C53DAB"/>
    <w:rsid w:val="00C54324"/>
    <w:rsid w:val="00C549A4"/>
    <w:rsid w:val="00C64176"/>
    <w:rsid w:val="00C72B31"/>
    <w:rsid w:val="00C81A54"/>
    <w:rsid w:val="00C839B5"/>
    <w:rsid w:val="00C85DC9"/>
    <w:rsid w:val="00C93D1C"/>
    <w:rsid w:val="00C94A12"/>
    <w:rsid w:val="00C96C41"/>
    <w:rsid w:val="00CB455D"/>
    <w:rsid w:val="00CB48CE"/>
    <w:rsid w:val="00CC0B62"/>
    <w:rsid w:val="00CC2D0A"/>
    <w:rsid w:val="00CD1D13"/>
    <w:rsid w:val="00CD3A25"/>
    <w:rsid w:val="00CD56DE"/>
    <w:rsid w:val="00CD7152"/>
    <w:rsid w:val="00CE2F48"/>
    <w:rsid w:val="00CE6CAB"/>
    <w:rsid w:val="00CF4C9A"/>
    <w:rsid w:val="00D0555E"/>
    <w:rsid w:val="00D407D0"/>
    <w:rsid w:val="00D42AD2"/>
    <w:rsid w:val="00D437E4"/>
    <w:rsid w:val="00D44679"/>
    <w:rsid w:val="00D61151"/>
    <w:rsid w:val="00D6607E"/>
    <w:rsid w:val="00D66C8D"/>
    <w:rsid w:val="00D82E09"/>
    <w:rsid w:val="00D95070"/>
    <w:rsid w:val="00DA552A"/>
    <w:rsid w:val="00DA7F56"/>
    <w:rsid w:val="00DB3038"/>
    <w:rsid w:val="00DC65CA"/>
    <w:rsid w:val="00DD7EDA"/>
    <w:rsid w:val="00DF5CB7"/>
    <w:rsid w:val="00E10200"/>
    <w:rsid w:val="00E1294D"/>
    <w:rsid w:val="00E15F47"/>
    <w:rsid w:val="00E20DAB"/>
    <w:rsid w:val="00E31C76"/>
    <w:rsid w:val="00E40EA8"/>
    <w:rsid w:val="00E416F4"/>
    <w:rsid w:val="00E44772"/>
    <w:rsid w:val="00E47E6F"/>
    <w:rsid w:val="00E5239E"/>
    <w:rsid w:val="00E63EC8"/>
    <w:rsid w:val="00E70A46"/>
    <w:rsid w:val="00E77645"/>
    <w:rsid w:val="00E85B1A"/>
    <w:rsid w:val="00E925DC"/>
    <w:rsid w:val="00EA1861"/>
    <w:rsid w:val="00EA44E4"/>
    <w:rsid w:val="00EA5C3A"/>
    <w:rsid w:val="00EA681B"/>
    <w:rsid w:val="00EC3BC3"/>
    <w:rsid w:val="00EC51E7"/>
    <w:rsid w:val="00EC5396"/>
    <w:rsid w:val="00EC61CA"/>
    <w:rsid w:val="00EC7A17"/>
    <w:rsid w:val="00ED0C01"/>
    <w:rsid w:val="00ED3F1F"/>
    <w:rsid w:val="00EE2703"/>
    <w:rsid w:val="00EE3D0F"/>
    <w:rsid w:val="00EF53E1"/>
    <w:rsid w:val="00F02065"/>
    <w:rsid w:val="00F04840"/>
    <w:rsid w:val="00F04A80"/>
    <w:rsid w:val="00F23540"/>
    <w:rsid w:val="00F272D0"/>
    <w:rsid w:val="00F43AA1"/>
    <w:rsid w:val="00F520DB"/>
    <w:rsid w:val="00F52E08"/>
    <w:rsid w:val="00F5327C"/>
    <w:rsid w:val="00F54383"/>
    <w:rsid w:val="00F5505D"/>
    <w:rsid w:val="00F5596A"/>
    <w:rsid w:val="00F62C0C"/>
    <w:rsid w:val="00F6379D"/>
    <w:rsid w:val="00F96407"/>
    <w:rsid w:val="00FA1297"/>
    <w:rsid w:val="00FA293D"/>
    <w:rsid w:val="00FA4628"/>
    <w:rsid w:val="00FA58A2"/>
    <w:rsid w:val="00FB0F0A"/>
    <w:rsid w:val="00FB1A77"/>
    <w:rsid w:val="00FB6BE5"/>
    <w:rsid w:val="00FC4072"/>
    <w:rsid w:val="00FD20AE"/>
    <w:rsid w:val="00FD5FE7"/>
    <w:rsid w:val="00FD7D9B"/>
    <w:rsid w:val="00FE0CCF"/>
    <w:rsid w:val="00FE3F50"/>
    <w:rsid w:val="00FF3CFD"/>
    <w:rsid w:val="01F83F2E"/>
    <w:rsid w:val="03315598"/>
    <w:rsid w:val="03DB41EC"/>
    <w:rsid w:val="03FB2748"/>
    <w:rsid w:val="04B443BD"/>
    <w:rsid w:val="06993931"/>
    <w:rsid w:val="072427F6"/>
    <w:rsid w:val="08212319"/>
    <w:rsid w:val="082E30A7"/>
    <w:rsid w:val="08A76FE4"/>
    <w:rsid w:val="09242874"/>
    <w:rsid w:val="09312DC7"/>
    <w:rsid w:val="09DE13B9"/>
    <w:rsid w:val="0DAE068D"/>
    <w:rsid w:val="0DB61117"/>
    <w:rsid w:val="105A3648"/>
    <w:rsid w:val="14554E19"/>
    <w:rsid w:val="14A032EE"/>
    <w:rsid w:val="1513437B"/>
    <w:rsid w:val="1C273C42"/>
    <w:rsid w:val="1C312FDB"/>
    <w:rsid w:val="1C403B6F"/>
    <w:rsid w:val="1CCA754C"/>
    <w:rsid w:val="1CF92C24"/>
    <w:rsid w:val="1D9D3BE5"/>
    <w:rsid w:val="1DA01B61"/>
    <w:rsid w:val="1DAA01C9"/>
    <w:rsid w:val="207E35D7"/>
    <w:rsid w:val="20917530"/>
    <w:rsid w:val="209828E5"/>
    <w:rsid w:val="218228E1"/>
    <w:rsid w:val="22F736AE"/>
    <w:rsid w:val="237358E2"/>
    <w:rsid w:val="23BF5C0C"/>
    <w:rsid w:val="24D4480F"/>
    <w:rsid w:val="251A7F98"/>
    <w:rsid w:val="256460F1"/>
    <w:rsid w:val="25822EF3"/>
    <w:rsid w:val="25BE630F"/>
    <w:rsid w:val="26BC0C54"/>
    <w:rsid w:val="272A6B5A"/>
    <w:rsid w:val="27A07F06"/>
    <w:rsid w:val="2A7E1AD3"/>
    <w:rsid w:val="2B1E7A45"/>
    <w:rsid w:val="2DEE1872"/>
    <w:rsid w:val="2E52371F"/>
    <w:rsid w:val="2E95474B"/>
    <w:rsid w:val="2E9669CD"/>
    <w:rsid w:val="2E9A01A7"/>
    <w:rsid w:val="31EC6C71"/>
    <w:rsid w:val="327A552B"/>
    <w:rsid w:val="34BE7C05"/>
    <w:rsid w:val="34FC0C42"/>
    <w:rsid w:val="353F570A"/>
    <w:rsid w:val="35E65B2B"/>
    <w:rsid w:val="362E74C8"/>
    <w:rsid w:val="38014746"/>
    <w:rsid w:val="38555320"/>
    <w:rsid w:val="38A87BE8"/>
    <w:rsid w:val="3A806A1B"/>
    <w:rsid w:val="3E784A75"/>
    <w:rsid w:val="3E8709E7"/>
    <w:rsid w:val="3E8F1F56"/>
    <w:rsid w:val="3FC24F44"/>
    <w:rsid w:val="3FD07514"/>
    <w:rsid w:val="4012557A"/>
    <w:rsid w:val="42553E58"/>
    <w:rsid w:val="436C3068"/>
    <w:rsid w:val="443D4778"/>
    <w:rsid w:val="4538578B"/>
    <w:rsid w:val="454A1500"/>
    <w:rsid w:val="459F3CB4"/>
    <w:rsid w:val="468759F6"/>
    <w:rsid w:val="468A08A8"/>
    <w:rsid w:val="4913520D"/>
    <w:rsid w:val="49CE2085"/>
    <w:rsid w:val="4C61702D"/>
    <w:rsid w:val="4C8038C1"/>
    <w:rsid w:val="4D104163"/>
    <w:rsid w:val="4E850EB3"/>
    <w:rsid w:val="4FC345BE"/>
    <w:rsid w:val="50106599"/>
    <w:rsid w:val="502F2C17"/>
    <w:rsid w:val="52C33FFF"/>
    <w:rsid w:val="54027CA1"/>
    <w:rsid w:val="56B4590C"/>
    <w:rsid w:val="571C7128"/>
    <w:rsid w:val="58000BBD"/>
    <w:rsid w:val="591765A8"/>
    <w:rsid w:val="59590EF1"/>
    <w:rsid w:val="5A4D227F"/>
    <w:rsid w:val="5A722BF0"/>
    <w:rsid w:val="5AB07E5A"/>
    <w:rsid w:val="5B265925"/>
    <w:rsid w:val="5CE8615C"/>
    <w:rsid w:val="5D4B22DD"/>
    <w:rsid w:val="5DFA3824"/>
    <w:rsid w:val="5E2A1E5C"/>
    <w:rsid w:val="5E60796C"/>
    <w:rsid w:val="609849C6"/>
    <w:rsid w:val="60B91B56"/>
    <w:rsid w:val="614E59A7"/>
    <w:rsid w:val="64D72FBE"/>
    <w:rsid w:val="650B4957"/>
    <w:rsid w:val="65224974"/>
    <w:rsid w:val="65230A8F"/>
    <w:rsid w:val="655E52B0"/>
    <w:rsid w:val="65C310B2"/>
    <w:rsid w:val="65E22264"/>
    <w:rsid w:val="666054D6"/>
    <w:rsid w:val="672865E9"/>
    <w:rsid w:val="67C03050"/>
    <w:rsid w:val="683C0EA1"/>
    <w:rsid w:val="6950791B"/>
    <w:rsid w:val="6AA9278E"/>
    <w:rsid w:val="6B0C0EA2"/>
    <w:rsid w:val="6B3464D4"/>
    <w:rsid w:val="6B860C18"/>
    <w:rsid w:val="6BEB1CDB"/>
    <w:rsid w:val="6E6D660D"/>
    <w:rsid w:val="70714E4E"/>
    <w:rsid w:val="70CA081E"/>
    <w:rsid w:val="71572061"/>
    <w:rsid w:val="734905B7"/>
    <w:rsid w:val="73EC375C"/>
    <w:rsid w:val="756E00CA"/>
    <w:rsid w:val="758F114A"/>
    <w:rsid w:val="76157BBE"/>
    <w:rsid w:val="76CC1EAF"/>
    <w:rsid w:val="77421FA0"/>
    <w:rsid w:val="77E158D4"/>
    <w:rsid w:val="78006F2A"/>
    <w:rsid w:val="782E1340"/>
    <w:rsid w:val="7B415D2D"/>
    <w:rsid w:val="7BF6459B"/>
    <w:rsid w:val="7C8568D1"/>
    <w:rsid w:val="7CB022C4"/>
    <w:rsid w:val="7E684819"/>
    <w:rsid w:val="7F3C47D3"/>
    <w:rsid w:val="7F3E0FA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qFormat="1" w:unhideWhenUsed="0" w:uiPriority="0" w:semiHidden="0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5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6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27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lock Text"/>
    <w:basedOn w:val="1"/>
    <w:qFormat/>
    <w:uiPriority w:val="0"/>
    <w:pPr>
      <w:spacing w:after="120"/>
      <w:ind w:left="1440" w:leftChars="700" w:right="1440" w:rightChars="700"/>
    </w:pPr>
    <w:rPr>
      <w:rFonts w:ascii="Times New Roman" w:hAnsi="Times New Roman" w:eastAsia="仿宋_GB2312" w:cs="Times New Roman"/>
      <w:sz w:val="28"/>
      <w:szCs w:val="20"/>
    </w:rPr>
  </w:style>
  <w:style w:type="paragraph" w:styleId="6">
    <w:name w:val="toc 3"/>
    <w:basedOn w:val="1"/>
    <w:next w:val="1"/>
    <w:unhideWhenUsed/>
    <w:qFormat/>
    <w:uiPriority w:val="39"/>
    <w:pPr>
      <w:tabs>
        <w:tab w:val="left" w:pos="1680"/>
        <w:tab w:val="right" w:leader="dot" w:pos="8296"/>
      </w:tabs>
      <w:ind w:left="840" w:leftChars="400"/>
      <w:jc w:val="center"/>
    </w:pPr>
  </w:style>
  <w:style w:type="paragraph" w:styleId="7">
    <w:name w:val="Plain Text"/>
    <w:basedOn w:val="1"/>
    <w:link w:val="30"/>
    <w:qFormat/>
    <w:uiPriority w:val="0"/>
    <w:rPr>
      <w:rFonts w:ascii="宋体" w:hAnsi="Courier New" w:eastAsia="宋体" w:cs="Times New Roman"/>
      <w:szCs w:val="20"/>
    </w:rPr>
  </w:style>
  <w:style w:type="paragraph" w:styleId="8">
    <w:name w:val="Date"/>
    <w:basedOn w:val="1"/>
    <w:next w:val="1"/>
    <w:link w:val="22"/>
    <w:semiHidden/>
    <w:unhideWhenUsed/>
    <w:qFormat/>
    <w:uiPriority w:val="99"/>
    <w:pPr>
      <w:ind w:left="100" w:leftChars="2500"/>
    </w:pPr>
  </w:style>
  <w:style w:type="paragraph" w:styleId="9">
    <w:name w:val="Balloon Text"/>
    <w:basedOn w:val="1"/>
    <w:link w:val="21"/>
    <w:semiHidden/>
    <w:unhideWhenUsed/>
    <w:qFormat/>
    <w:uiPriority w:val="99"/>
    <w:rPr>
      <w:sz w:val="18"/>
      <w:szCs w:val="18"/>
    </w:rPr>
  </w:style>
  <w:style w:type="paragraph" w:styleId="10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toc 1"/>
    <w:basedOn w:val="1"/>
    <w:next w:val="1"/>
    <w:unhideWhenUsed/>
    <w:qFormat/>
    <w:uiPriority w:val="39"/>
  </w:style>
  <w:style w:type="paragraph" w:styleId="13">
    <w:name w:val="Normal (Web)"/>
    <w:basedOn w:val="1"/>
    <w:qFormat/>
    <w:uiPriority w:val="99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5">
    <w:name w:val="Hyperlink"/>
    <w:basedOn w:val="14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table" w:styleId="17">
    <w:name w:val="Table Grid"/>
    <w:basedOn w:val="1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8">
    <w:name w:val="页眉 Char"/>
    <w:basedOn w:val="14"/>
    <w:link w:val="11"/>
    <w:qFormat/>
    <w:uiPriority w:val="99"/>
    <w:rPr>
      <w:sz w:val="18"/>
      <w:szCs w:val="18"/>
    </w:rPr>
  </w:style>
  <w:style w:type="character" w:customStyle="1" w:styleId="19">
    <w:name w:val="页脚 Char"/>
    <w:basedOn w:val="14"/>
    <w:link w:val="10"/>
    <w:qFormat/>
    <w:uiPriority w:val="99"/>
    <w:rPr>
      <w:sz w:val="18"/>
      <w:szCs w:val="18"/>
    </w:rPr>
  </w:style>
  <w:style w:type="paragraph" w:styleId="20">
    <w:name w:val="List Paragraph"/>
    <w:basedOn w:val="1"/>
    <w:qFormat/>
    <w:uiPriority w:val="34"/>
    <w:pPr>
      <w:ind w:firstLine="420" w:firstLineChars="200"/>
    </w:pPr>
  </w:style>
  <w:style w:type="character" w:customStyle="1" w:styleId="21">
    <w:name w:val="批注框文本 Char"/>
    <w:basedOn w:val="14"/>
    <w:link w:val="9"/>
    <w:semiHidden/>
    <w:qFormat/>
    <w:uiPriority w:val="99"/>
    <w:rPr>
      <w:sz w:val="18"/>
      <w:szCs w:val="18"/>
    </w:rPr>
  </w:style>
  <w:style w:type="character" w:customStyle="1" w:styleId="22">
    <w:name w:val="日期 Char"/>
    <w:basedOn w:val="14"/>
    <w:link w:val="8"/>
    <w:semiHidden/>
    <w:qFormat/>
    <w:uiPriority w:val="99"/>
  </w:style>
  <w:style w:type="paragraph" w:customStyle="1" w:styleId="23">
    <w:name w:val="_Style 12"/>
    <w:basedOn w:val="1"/>
    <w:qFormat/>
    <w:uiPriority w:val="0"/>
    <w:rPr>
      <w:rFonts w:ascii="Times New Roman" w:hAnsi="Times New Roman" w:eastAsia="宋体" w:cs="Times New Roman"/>
      <w:szCs w:val="20"/>
    </w:rPr>
  </w:style>
  <w:style w:type="paragraph" w:customStyle="1" w:styleId="24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25">
    <w:name w:val="标题 1 Char"/>
    <w:basedOn w:val="14"/>
    <w:link w:val="2"/>
    <w:qFormat/>
    <w:uiPriority w:val="9"/>
    <w:rPr>
      <w:rFonts w:asciiTheme="minorHAnsi" w:hAnsiTheme="minorHAnsi" w:eastAsiaTheme="minorEastAsia" w:cstheme="minorBidi"/>
      <w:b/>
      <w:bCs/>
      <w:kern w:val="44"/>
      <w:sz w:val="44"/>
      <w:szCs w:val="44"/>
    </w:rPr>
  </w:style>
  <w:style w:type="character" w:customStyle="1" w:styleId="26">
    <w:name w:val="标题 2 Char"/>
    <w:basedOn w:val="14"/>
    <w:link w:val="3"/>
    <w:qFormat/>
    <w:uiPriority w:val="9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27">
    <w:name w:val="标题 3 Char"/>
    <w:basedOn w:val="14"/>
    <w:link w:val="4"/>
    <w:qFormat/>
    <w:uiPriority w:val="9"/>
    <w:rPr>
      <w:rFonts w:asciiTheme="minorHAnsi" w:hAnsiTheme="minorHAnsi" w:eastAsiaTheme="minorEastAsia" w:cstheme="minorBidi"/>
      <w:b/>
      <w:bCs/>
      <w:kern w:val="2"/>
      <w:sz w:val="32"/>
      <w:szCs w:val="32"/>
    </w:rPr>
  </w:style>
  <w:style w:type="paragraph" w:customStyle="1" w:styleId="28">
    <w:name w:val="Default Text"/>
    <w:basedOn w:val="1"/>
    <w:qFormat/>
    <w:uiPriority w:val="0"/>
    <w:pPr>
      <w:widowControl/>
      <w:overflowPunct w:val="0"/>
      <w:autoSpaceDE w:val="0"/>
      <w:autoSpaceDN w:val="0"/>
      <w:adjustRightInd w:val="0"/>
      <w:spacing w:line="360" w:lineRule="auto"/>
      <w:jc w:val="left"/>
      <w:textAlignment w:val="baseline"/>
    </w:pPr>
    <w:rPr>
      <w:rFonts w:ascii="Times New Roman" w:hAnsi="Times New Roman" w:eastAsia="宋体" w:cs="Times New Roman"/>
      <w:kern w:val="0"/>
      <w:sz w:val="24"/>
      <w:szCs w:val="20"/>
    </w:rPr>
  </w:style>
  <w:style w:type="paragraph" w:customStyle="1" w:styleId="29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r萀" w:hAnsi="Times New Roman" w:eastAsia="仿宋r萀" w:cs="仿宋r萀"/>
      <w:color w:val="000000"/>
      <w:sz w:val="24"/>
      <w:szCs w:val="24"/>
      <w:lang w:val="en-US" w:eastAsia="zh-CN" w:bidi="ar-SA"/>
    </w:rPr>
  </w:style>
  <w:style w:type="character" w:customStyle="1" w:styleId="30">
    <w:name w:val="纯文本 Char"/>
    <w:basedOn w:val="14"/>
    <w:link w:val="7"/>
    <w:qFormat/>
    <w:uiPriority w:val="0"/>
    <w:rPr>
      <w:rFonts w:ascii="宋体" w:hAnsi="Courier New"/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780506C-B703-4463-9EA4-A1E727CD713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14</Pages>
  <Words>6789</Words>
  <Characters>1898</Characters>
  <Lines>15</Lines>
  <Paragraphs>17</Paragraphs>
  <TotalTime>8</TotalTime>
  <ScaleCrop>false</ScaleCrop>
  <LinksUpToDate>false</LinksUpToDate>
  <CharactersWithSpaces>8670</CharactersWithSpaces>
  <Application>WPS Office_10.8.2.6666_F1E327BC-269C-435d-A152-05C5408002CA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2021-05-25T22:42:00Z</dcterms:created>
  <dc:creator>Hipdc</dc:creator>
  <cp:lastModifiedBy>康倩/CQFGS/CHNG</cp:lastModifiedBy>
  <cp:lastPrinted>2023-02-20T01:25:00Z</cp:lastPrinted>
  <dcterms:modified xsi:type="dcterms:W3CDTF">2023-03-02T02:58:14Z</dcterms:modified>
  <cp:revision>118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2052-10.8.2.6666</vt:lpwstr>
  </property>
</Properties>
</file>