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bookmarkStart w:id="2" w:name="_GoBack"/>
      <w:r>
        <w:rPr>
          <w:rFonts w:hint="eastAsia" w:eastAsia="宋体"/>
          <w:lang w:eastAsia="zh-CN"/>
        </w:rPr>
        <w:drawing>
          <wp:inline distT="0" distB="0" distL="114300" distR="114300">
            <wp:extent cx="5249545" cy="8855075"/>
            <wp:effectExtent l="0" t="0" r="8255" b="317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5"/>
                    <a:stretch>
                      <a:fillRect/>
                    </a:stretch>
                  </pic:blipFill>
                  <pic:spPr>
                    <a:xfrm>
                      <a:off x="0" y="0"/>
                      <a:ext cx="5249545" cy="8855075"/>
                    </a:xfrm>
                    <a:prstGeom prst="rect">
                      <a:avLst/>
                    </a:prstGeom>
                  </pic:spPr>
                </pic:pic>
              </a:graphicData>
            </a:graphic>
          </wp:inline>
        </w:drawing>
      </w:r>
      <w:bookmarkEnd w:id="2"/>
    </w:p>
    <w:p>
      <w:r>
        <w:rPr>
          <w:rFonts w:hint="eastAsia" w:ascii="宋体" w:hAnsi="宋体"/>
          <w:sz w:val="18"/>
        </w:rPr>
        <w:drawing>
          <wp:anchor distT="0" distB="0" distL="114300" distR="114300" simplePos="0" relativeHeight="251659264" behindDoc="0" locked="0" layoutInCell="1" allowOverlap="1">
            <wp:simplePos x="0" y="0"/>
            <wp:positionH relativeFrom="column">
              <wp:posOffset>3611245</wp:posOffset>
            </wp:positionH>
            <wp:positionV relativeFrom="paragraph">
              <wp:posOffset>48895</wp:posOffset>
            </wp:positionV>
            <wp:extent cx="1840230" cy="396875"/>
            <wp:effectExtent l="0" t="0" r="7620" b="3175"/>
            <wp:wrapSquare wrapText="bothSides"/>
            <wp:docPr id="3" name="图片 3"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未标题-1副本"/>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840230" cy="396875"/>
                    </a:xfrm>
                    <a:prstGeom prst="rect">
                      <a:avLst/>
                    </a:prstGeom>
                    <a:noFill/>
                    <a:ln>
                      <a:noFill/>
                    </a:ln>
                  </pic:spPr>
                </pic:pic>
              </a:graphicData>
            </a:graphic>
          </wp:anchor>
        </w:drawing>
      </w:r>
    </w:p>
    <w:p>
      <w:pPr>
        <w:spacing w:line="360" w:lineRule="auto"/>
        <w:jc w:val="center"/>
        <w:rPr>
          <w:rFonts w:ascii="宋体" w:hAnsi="宋体"/>
          <w:sz w:val="18"/>
        </w:rPr>
      </w:pPr>
    </w:p>
    <w:p>
      <w:pPr>
        <w:spacing w:line="360" w:lineRule="auto"/>
        <w:jc w:val="center"/>
        <w:rPr>
          <w:rFonts w:ascii="宋体" w:hAnsi="宋体"/>
          <w:sz w:val="18"/>
        </w:rPr>
      </w:pPr>
    </w:p>
    <w:p>
      <w:pPr>
        <w:spacing w:line="360" w:lineRule="auto"/>
        <w:jc w:val="center"/>
        <w:rPr>
          <w:rFonts w:ascii="宋体" w:hAnsi="宋体"/>
          <w:sz w:val="18"/>
        </w:rPr>
      </w:pPr>
    </w:p>
    <w:p>
      <w:pPr>
        <w:pStyle w:val="2"/>
      </w:pPr>
    </w:p>
    <w:p>
      <w:pPr>
        <w:spacing w:line="360" w:lineRule="auto"/>
        <w:jc w:val="center"/>
        <w:rPr>
          <w:rFonts w:ascii="宋体" w:hAnsi="宋体"/>
          <w:sz w:val="36"/>
          <w:szCs w:val="36"/>
        </w:rPr>
      </w:pPr>
      <w:r>
        <w:rPr>
          <w:rFonts w:hint="eastAsia" w:ascii="黑体" w:hAnsi="黑体" w:eastAsia="黑体"/>
          <w:b/>
          <w:bCs/>
          <w:sz w:val="48"/>
          <w:szCs w:val="48"/>
        </w:rPr>
        <w:t>北方联合电力包头第二热电</w:t>
      </w:r>
      <w:r>
        <w:rPr>
          <w:rFonts w:hint="eastAsia" w:ascii="宋体" w:hAnsi="宋体"/>
          <w:b/>
          <w:bCs/>
          <w:sz w:val="48"/>
          <w:szCs w:val="48"/>
        </w:rPr>
        <w:t>厂</w:t>
      </w:r>
    </w:p>
    <w:p>
      <w:pPr>
        <w:spacing w:line="360" w:lineRule="auto"/>
        <w:jc w:val="center"/>
        <w:rPr>
          <w:rFonts w:ascii="黑体" w:hAnsi="黑体" w:eastAsia="黑体"/>
          <w:sz w:val="42"/>
        </w:rPr>
      </w:pPr>
    </w:p>
    <w:p>
      <w:pPr>
        <w:spacing w:line="360" w:lineRule="auto"/>
        <w:jc w:val="center"/>
        <w:rPr>
          <w:rFonts w:ascii="黑体" w:hAnsi="黑体" w:eastAsia="黑体"/>
          <w:b/>
          <w:bCs/>
          <w:sz w:val="48"/>
          <w:szCs w:val="48"/>
        </w:rPr>
      </w:pPr>
      <w:r>
        <w:rPr>
          <w:rFonts w:hint="eastAsia" w:ascii="宋体" w:hAnsi="宋体" w:eastAsia="黑体" w:cs="宋体"/>
          <w:b/>
          <w:spacing w:val="-20"/>
          <w:sz w:val="48"/>
        </w:rPr>
        <w:t>锅炉减温水阀门阀杆、阀芯零件加工</w:t>
      </w:r>
      <w:r>
        <w:rPr>
          <w:rFonts w:hint="eastAsia" w:ascii="黑体" w:hAnsi="黑体" w:eastAsia="黑体"/>
          <w:b/>
          <w:bCs/>
          <w:sz w:val="48"/>
          <w:szCs w:val="48"/>
        </w:rPr>
        <w:t>项目</w:t>
      </w:r>
    </w:p>
    <w:p>
      <w:pPr>
        <w:spacing w:line="360" w:lineRule="auto"/>
        <w:jc w:val="center"/>
        <w:rPr>
          <w:rFonts w:ascii="黑体" w:hAnsi="黑体" w:eastAsia="黑体"/>
          <w:sz w:val="44"/>
          <w:szCs w:val="44"/>
        </w:rPr>
      </w:pPr>
    </w:p>
    <w:p>
      <w:pPr>
        <w:spacing w:line="360" w:lineRule="auto"/>
        <w:jc w:val="center"/>
        <w:rPr>
          <w:rFonts w:ascii="黑体" w:hAnsi="黑体" w:eastAsia="黑体"/>
          <w:sz w:val="72"/>
          <w:szCs w:val="72"/>
        </w:rPr>
      </w:pPr>
      <w:r>
        <w:rPr>
          <w:rFonts w:hint="eastAsia" w:ascii="黑体" w:hAnsi="宋体" w:eastAsia="黑体"/>
          <w:kern w:val="0"/>
          <w:sz w:val="72"/>
          <w:szCs w:val="44"/>
        </w:rPr>
        <w:t>电商询价采购</w:t>
      </w:r>
      <w:r>
        <w:rPr>
          <w:rFonts w:hint="eastAsia" w:ascii="黑体" w:hAnsi="黑体" w:eastAsia="黑体"/>
          <w:sz w:val="72"/>
          <w:szCs w:val="72"/>
        </w:rPr>
        <w:t>文件</w:t>
      </w:r>
    </w:p>
    <w:p>
      <w:pPr>
        <w:spacing w:line="360" w:lineRule="auto"/>
        <w:rPr>
          <w:rFonts w:ascii="宋体" w:hAnsi="宋体"/>
          <w:sz w:val="32"/>
        </w:rPr>
      </w:pPr>
    </w:p>
    <w:p>
      <w:pPr>
        <w:spacing w:line="360" w:lineRule="auto"/>
        <w:ind w:firstLine="1767" w:firstLineChars="550"/>
        <w:rPr>
          <w:rFonts w:ascii="宋体" w:hAnsi="宋体"/>
          <w:b/>
          <w:sz w:val="32"/>
        </w:rPr>
      </w:pPr>
    </w:p>
    <w:p>
      <w:pPr>
        <w:spacing w:line="360" w:lineRule="auto"/>
        <w:ind w:firstLine="1767" w:firstLineChars="550"/>
        <w:rPr>
          <w:rFonts w:ascii="宋体" w:hAnsi="宋体"/>
          <w:b/>
          <w:sz w:val="32"/>
        </w:rPr>
      </w:pPr>
      <w:r>
        <w:rPr>
          <w:rFonts w:hint="eastAsia" w:ascii="宋体" w:hAnsi="宋体"/>
          <w:b/>
          <w:sz w:val="32"/>
        </w:rPr>
        <w:t>编制</w:t>
      </w:r>
      <w:r>
        <w:rPr>
          <w:rFonts w:ascii="宋体" w:hAnsi="宋体"/>
          <w:b/>
          <w:sz w:val="32"/>
        </w:rPr>
        <w:t>：</w:t>
      </w:r>
    </w:p>
    <w:p>
      <w:pPr>
        <w:spacing w:line="360" w:lineRule="auto"/>
        <w:ind w:firstLine="1760" w:firstLineChars="550"/>
        <w:rPr>
          <w:rFonts w:ascii="宋体" w:hAnsi="宋体"/>
          <w:sz w:val="32"/>
        </w:rPr>
      </w:pPr>
    </w:p>
    <w:p>
      <w:pPr>
        <w:spacing w:line="360" w:lineRule="auto"/>
        <w:ind w:firstLine="1767" w:firstLineChars="550"/>
        <w:rPr>
          <w:rFonts w:ascii="宋体" w:hAnsi="宋体"/>
          <w:b/>
          <w:sz w:val="32"/>
        </w:rPr>
      </w:pPr>
      <w:r>
        <w:rPr>
          <w:rFonts w:hint="eastAsia" w:ascii="宋体" w:hAnsi="宋体"/>
          <w:b/>
          <w:sz w:val="32"/>
        </w:rPr>
        <w:t>审核</w:t>
      </w:r>
      <w:r>
        <w:rPr>
          <w:rFonts w:ascii="宋体" w:hAnsi="宋体"/>
          <w:b/>
          <w:sz w:val="32"/>
        </w:rPr>
        <w:t>：</w:t>
      </w:r>
    </w:p>
    <w:p>
      <w:pPr>
        <w:spacing w:line="360" w:lineRule="auto"/>
        <w:ind w:firstLine="1767" w:firstLineChars="550"/>
        <w:rPr>
          <w:rFonts w:ascii="宋体" w:hAnsi="宋体"/>
          <w:b/>
          <w:sz w:val="32"/>
        </w:rPr>
      </w:pPr>
    </w:p>
    <w:p>
      <w:pPr>
        <w:spacing w:line="360" w:lineRule="auto"/>
        <w:ind w:firstLine="1767" w:firstLineChars="550"/>
        <w:rPr>
          <w:rFonts w:ascii="宋体" w:hAnsi="宋体"/>
          <w:b/>
          <w:sz w:val="32"/>
        </w:rPr>
      </w:pPr>
      <w:r>
        <w:rPr>
          <w:rFonts w:hint="eastAsia" w:ascii="宋体" w:hAnsi="宋体"/>
          <w:b/>
          <w:sz w:val="32"/>
        </w:rPr>
        <w:t>审批</w:t>
      </w:r>
      <w:r>
        <w:rPr>
          <w:rFonts w:ascii="宋体" w:hAnsi="宋体"/>
          <w:b/>
          <w:sz w:val="32"/>
        </w:rPr>
        <w:t>：</w:t>
      </w:r>
    </w:p>
    <w:p>
      <w:pPr>
        <w:spacing w:line="360" w:lineRule="auto"/>
        <w:rPr>
          <w:rFonts w:ascii="宋体" w:hAnsi="宋体"/>
          <w:sz w:val="32"/>
        </w:rPr>
      </w:pPr>
    </w:p>
    <w:p>
      <w:pPr>
        <w:pStyle w:val="2"/>
        <w:rPr>
          <w:rFonts w:ascii="宋体" w:hAnsi="宋体"/>
          <w:sz w:val="32"/>
        </w:rPr>
      </w:pPr>
    </w:p>
    <w:p/>
    <w:p/>
    <w:p>
      <w:pPr>
        <w:spacing w:line="360" w:lineRule="auto"/>
        <w:jc w:val="center"/>
        <w:rPr>
          <w:rFonts w:ascii="宋体" w:hAnsi="宋体"/>
          <w:b/>
          <w:sz w:val="32"/>
        </w:rPr>
      </w:pPr>
      <w:r>
        <w:rPr>
          <w:rFonts w:hint="eastAsia" w:ascii="宋体" w:hAnsi="宋体"/>
          <w:b/>
          <w:sz w:val="32"/>
        </w:rPr>
        <w:t>包头第二热电厂</w:t>
      </w:r>
    </w:p>
    <w:p>
      <w:pPr>
        <w:spacing w:line="360" w:lineRule="auto"/>
        <w:jc w:val="center"/>
        <w:rPr>
          <w:rFonts w:ascii="黑体" w:hAnsi="黑体" w:eastAsia="黑体"/>
          <w:sz w:val="36"/>
          <w:szCs w:val="36"/>
        </w:rPr>
      </w:pPr>
      <w:r>
        <w:rPr>
          <w:rFonts w:hint="eastAsia" w:ascii="宋体" w:hAnsi="宋体"/>
          <w:b/>
          <w:sz w:val="32"/>
        </w:rPr>
        <w:t>2023年3月6日</w:t>
      </w:r>
    </w:p>
    <w:p>
      <w:pPr>
        <w:spacing w:line="360" w:lineRule="auto"/>
        <w:rPr>
          <w:rFonts w:ascii="宋体" w:hAnsi="宋体"/>
          <w:b/>
          <w:bCs/>
          <w:sz w:val="48"/>
          <w:szCs w:val="48"/>
        </w:rPr>
      </w:pPr>
    </w:p>
    <w:p/>
    <w:p>
      <w:pPr>
        <w:spacing w:line="360" w:lineRule="auto"/>
        <w:ind w:firstLine="3373" w:firstLineChars="700"/>
        <w:rPr>
          <w:rFonts w:hint="eastAsia" w:ascii="宋体" w:hAnsi="宋体"/>
          <w:b/>
          <w:bCs/>
          <w:sz w:val="48"/>
          <w:szCs w:val="48"/>
        </w:rPr>
      </w:pPr>
      <w:r>
        <w:rPr>
          <w:rFonts w:hint="eastAsia" w:ascii="宋体" w:hAnsi="宋体"/>
          <w:b/>
          <w:bCs/>
          <w:sz w:val="48"/>
          <w:szCs w:val="48"/>
        </w:rPr>
        <w:t>注意事项</w:t>
      </w:r>
    </w:p>
    <w:p>
      <w:pPr>
        <w:pStyle w:val="2"/>
      </w:pPr>
    </w:p>
    <w:p>
      <w:pPr>
        <w:spacing w:line="360" w:lineRule="auto"/>
        <w:ind w:firstLine="810"/>
        <w:jc w:val="left"/>
        <w:rPr>
          <w:rFonts w:ascii="宋体" w:hAnsi="宋体"/>
          <w:b/>
          <w:bCs/>
          <w:sz w:val="36"/>
          <w:szCs w:val="36"/>
        </w:rPr>
      </w:pPr>
      <w:r>
        <w:rPr>
          <w:rFonts w:hint="eastAsia" w:ascii="宋体" w:hAnsi="宋体"/>
          <w:b/>
          <w:bCs/>
          <w:sz w:val="36"/>
          <w:szCs w:val="36"/>
        </w:rPr>
        <w:t>供应商报价时凡涉及以下任一条款均视为无效报价并纳入供应商考评，具体条款如下：</w:t>
      </w:r>
    </w:p>
    <w:p>
      <w:pPr>
        <w:spacing w:line="360" w:lineRule="auto"/>
        <w:ind w:firstLine="810"/>
        <w:jc w:val="left"/>
        <w:rPr>
          <w:rFonts w:ascii="宋体" w:hAnsi="宋体"/>
          <w:sz w:val="36"/>
          <w:szCs w:val="36"/>
        </w:rPr>
      </w:pPr>
      <w:r>
        <w:rPr>
          <w:rFonts w:hint="eastAsia" w:ascii="宋体" w:hAnsi="宋体"/>
          <w:sz w:val="36"/>
          <w:szCs w:val="36"/>
        </w:rPr>
        <w:t>1.供应商单位负责人为同一人或者存在控股、管理关系。</w:t>
      </w:r>
    </w:p>
    <w:p>
      <w:pPr>
        <w:spacing w:line="360" w:lineRule="auto"/>
        <w:ind w:firstLine="810"/>
        <w:jc w:val="left"/>
        <w:rPr>
          <w:rFonts w:ascii="宋体" w:hAnsi="宋体"/>
          <w:sz w:val="36"/>
          <w:szCs w:val="36"/>
        </w:rPr>
      </w:pPr>
      <w:r>
        <w:rPr>
          <w:rFonts w:hint="eastAsia" w:ascii="宋体" w:hAnsi="宋体"/>
          <w:sz w:val="36"/>
          <w:szCs w:val="36"/>
        </w:rPr>
        <w:t>2.供应商处于人民法院“失信被执行人”名单或工商行政管理机关“严重违法失信企业”名单的；</w:t>
      </w:r>
    </w:p>
    <w:p>
      <w:pPr>
        <w:spacing w:line="360" w:lineRule="auto"/>
        <w:ind w:firstLine="810"/>
        <w:jc w:val="left"/>
        <w:rPr>
          <w:rFonts w:ascii="宋体" w:hAnsi="宋体"/>
          <w:sz w:val="36"/>
          <w:szCs w:val="36"/>
        </w:rPr>
      </w:pPr>
      <w:r>
        <w:rPr>
          <w:rFonts w:hint="eastAsia" w:ascii="宋体" w:hAnsi="宋体"/>
          <w:sz w:val="36"/>
          <w:szCs w:val="36"/>
        </w:rPr>
        <w:t>3.供应商不上传附件（响应文件），上传的文件未加盖本单位公章，上传的资质非原件扫描的。</w:t>
      </w:r>
    </w:p>
    <w:p>
      <w:pPr>
        <w:spacing w:line="360" w:lineRule="auto"/>
        <w:ind w:firstLine="810"/>
        <w:jc w:val="left"/>
        <w:rPr>
          <w:rFonts w:ascii="宋体" w:hAnsi="宋体"/>
          <w:sz w:val="36"/>
          <w:szCs w:val="36"/>
        </w:rPr>
      </w:pPr>
      <w:r>
        <w:rPr>
          <w:rFonts w:hint="eastAsia" w:ascii="宋体" w:hAnsi="宋体"/>
          <w:sz w:val="36"/>
          <w:szCs w:val="36"/>
        </w:rPr>
        <w:t>4.供应商不上传报价清单或报价清单未盖章, 分项报价与总价不一致(计算错误或缺项、漏项、多项)的。</w:t>
      </w:r>
    </w:p>
    <w:p>
      <w:pPr>
        <w:spacing w:line="360" w:lineRule="auto"/>
        <w:ind w:firstLine="810"/>
        <w:jc w:val="left"/>
        <w:rPr>
          <w:rFonts w:ascii="宋体" w:hAnsi="宋体"/>
          <w:sz w:val="36"/>
          <w:szCs w:val="36"/>
        </w:rPr>
      </w:pPr>
      <w:r>
        <w:rPr>
          <w:rFonts w:hint="eastAsia" w:ascii="宋体" w:hAnsi="宋体"/>
          <w:sz w:val="36"/>
          <w:szCs w:val="36"/>
        </w:rPr>
        <w:t>5.供应商无法接受后付款方式。</w:t>
      </w:r>
    </w:p>
    <w:p>
      <w:pPr>
        <w:spacing w:line="360" w:lineRule="auto"/>
        <w:ind w:firstLine="810"/>
        <w:jc w:val="left"/>
        <w:rPr>
          <w:rFonts w:ascii="宋体" w:hAnsi="宋体"/>
          <w:sz w:val="36"/>
          <w:szCs w:val="36"/>
        </w:rPr>
      </w:pPr>
      <w:r>
        <w:rPr>
          <w:rFonts w:hint="eastAsia" w:ascii="宋体" w:hAnsi="宋体"/>
          <w:sz w:val="36"/>
          <w:szCs w:val="36"/>
        </w:rPr>
        <w:t>6.供应商提供的资格、业绩、证明等材料存在造假行为的。</w:t>
      </w:r>
    </w:p>
    <w:p>
      <w:pPr>
        <w:spacing w:line="360" w:lineRule="auto"/>
        <w:ind w:firstLine="810"/>
        <w:jc w:val="left"/>
        <w:rPr>
          <w:rFonts w:asciiTheme="minorEastAsia" w:hAnsiTheme="minorEastAsia"/>
          <w:sz w:val="40"/>
          <w:szCs w:val="40"/>
        </w:rPr>
      </w:pPr>
      <w:r>
        <w:rPr>
          <w:rFonts w:hint="eastAsia" w:ascii="宋体" w:hAnsi="宋体"/>
          <w:sz w:val="36"/>
          <w:szCs w:val="36"/>
        </w:rPr>
        <w:t>7.供应商存在上传数据或响应文件的互联网协议地址（IP地址）信息检查一致的。</w:t>
      </w:r>
    </w:p>
    <w:p>
      <w:pPr>
        <w:spacing w:line="360" w:lineRule="auto"/>
        <w:jc w:val="center"/>
        <w:rPr>
          <w:rFonts w:ascii="黑体" w:hAnsi="黑体" w:eastAsia="黑体"/>
          <w:sz w:val="36"/>
          <w:szCs w:val="36"/>
        </w:rPr>
      </w:pPr>
    </w:p>
    <w:p>
      <w:pPr>
        <w:spacing w:line="360" w:lineRule="auto"/>
        <w:rPr>
          <w:rFonts w:ascii="黑体" w:hAnsi="黑体" w:eastAsia="黑体"/>
          <w:sz w:val="36"/>
          <w:szCs w:val="36"/>
        </w:rPr>
      </w:pPr>
    </w:p>
    <w:p>
      <w:pPr>
        <w:pStyle w:val="14"/>
        <w:jc w:val="center"/>
        <w:rPr>
          <w:rFonts w:hint="eastAsia"/>
          <w:b/>
          <w:sz w:val="44"/>
          <w:szCs w:val="44"/>
        </w:rPr>
      </w:pPr>
    </w:p>
    <w:p>
      <w:pPr>
        <w:pStyle w:val="14"/>
        <w:jc w:val="center"/>
        <w:rPr>
          <w:b/>
          <w:sz w:val="44"/>
          <w:szCs w:val="44"/>
        </w:rPr>
      </w:pPr>
      <w:r>
        <w:rPr>
          <w:rFonts w:hint="eastAsia"/>
          <w:b/>
          <w:sz w:val="44"/>
          <w:szCs w:val="44"/>
        </w:rPr>
        <w:t>总目录</w:t>
      </w:r>
    </w:p>
    <w:p>
      <w:pPr>
        <w:pStyle w:val="14"/>
        <w:rPr>
          <w:sz w:val="32"/>
          <w:szCs w:val="32"/>
        </w:rPr>
      </w:pPr>
    </w:p>
    <w:p>
      <w:pPr>
        <w:pStyle w:val="14"/>
        <w:spacing w:line="360" w:lineRule="auto"/>
        <w:rPr>
          <w:rFonts w:asciiTheme="minorEastAsia" w:hAnsiTheme="minorEastAsia"/>
          <w:b/>
          <w:sz w:val="32"/>
          <w:szCs w:val="32"/>
        </w:rPr>
      </w:pPr>
      <w:r>
        <w:rPr>
          <w:rFonts w:hint="eastAsia" w:asciiTheme="minorEastAsia" w:hAnsiTheme="minorEastAsia"/>
          <w:b/>
          <w:sz w:val="32"/>
          <w:szCs w:val="32"/>
        </w:rPr>
        <w:t>第一章  供应商须知</w:t>
      </w:r>
    </w:p>
    <w:p>
      <w:pPr>
        <w:pStyle w:val="14"/>
        <w:spacing w:line="360" w:lineRule="auto"/>
        <w:rPr>
          <w:b/>
          <w:sz w:val="32"/>
          <w:szCs w:val="32"/>
        </w:rPr>
      </w:pPr>
      <w:r>
        <w:rPr>
          <w:rFonts w:hint="eastAsia"/>
          <w:b/>
          <w:sz w:val="32"/>
          <w:szCs w:val="32"/>
        </w:rPr>
        <w:t>第二章  采购项目概况</w:t>
      </w:r>
    </w:p>
    <w:p>
      <w:pPr>
        <w:pStyle w:val="14"/>
        <w:spacing w:line="360" w:lineRule="auto"/>
        <w:rPr>
          <w:b/>
          <w:sz w:val="32"/>
          <w:szCs w:val="32"/>
        </w:rPr>
      </w:pPr>
      <w:r>
        <w:rPr>
          <w:rFonts w:hint="eastAsia"/>
          <w:b/>
          <w:sz w:val="32"/>
          <w:szCs w:val="32"/>
        </w:rPr>
        <w:t>第三章  供应商资格要求</w:t>
      </w:r>
    </w:p>
    <w:p>
      <w:pPr>
        <w:pStyle w:val="14"/>
        <w:spacing w:line="360" w:lineRule="auto"/>
        <w:rPr>
          <w:b/>
          <w:sz w:val="32"/>
          <w:szCs w:val="32"/>
        </w:rPr>
      </w:pPr>
      <w:r>
        <w:rPr>
          <w:rFonts w:hint="eastAsia"/>
          <w:b/>
          <w:sz w:val="32"/>
          <w:szCs w:val="32"/>
        </w:rPr>
        <w:t>第四章  技术规范要求</w:t>
      </w:r>
    </w:p>
    <w:p>
      <w:pPr>
        <w:pStyle w:val="14"/>
        <w:spacing w:line="360" w:lineRule="auto"/>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rPr>
          <w:b/>
          <w:bCs/>
          <w:kern w:val="44"/>
          <w:sz w:val="44"/>
          <w:szCs w:val="44"/>
        </w:rPr>
      </w:pPr>
    </w:p>
    <w:p>
      <w:pPr>
        <w:pStyle w:val="3"/>
      </w:pPr>
    </w:p>
    <w:p/>
    <w:p>
      <w:pPr>
        <w:spacing w:line="360" w:lineRule="auto"/>
        <w:jc w:val="center"/>
        <w:rPr>
          <w:rFonts w:ascii="黑体" w:hAnsi="黑体" w:eastAsia="黑体"/>
          <w:sz w:val="32"/>
          <w:szCs w:val="32"/>
        </w:rPr>
      </w:pPr>
      <w:r>
        <w:rPr>
          <w:rFonts w:hint="eastAsia" w:ascii="黑体" w:hAnsi="黑体" w:eastAsia="黑体"/>
          <w:sz w:val="40"/>
          <w:szCs w:val="32"/>
        </w:rPr>
        <w:t>第一章 供应商须知</w:t>
      </w:r>
    </w:p>
    <w:p>
      <w:pPr>
        <w:spacing w:line="360" w:lineRule="auto"/>
        <w:jc w:val="center"/>
        <w:rPr>
          <w:rFonts w:ascii="黑体" w:hAnsi="黑体" w:eastAsia="黑体"/>
          <w:sz w:val="36"/>
          <w:szCs w:val="36"/>
        </w:rPr>
      </w:pPr>
      <w:r>
        <w:rPr>
          <w:rFonts w:hint="eastAsia" w:ascii="黑体" w:hAnsi="黑体" w:eastAsia="黑体"/>
          <w:sz w:val="36"/>
          <w:szCs w:val="36"/>
        </w:rPr>
        <w:t>锅炉减温水阀门阀杆、阀芯零件加工项目</w:t>
      </w:r>
    </w:p>
    <w:p>
      <w:pPr>
        <w:spacing w:line="360" w:lineRule="auto"/>
        <w:jc w:val="center"/>
        <w:rPr>
          <w:rFonts w:ascii="黑体" w:hAnsi="黑体" w:eastAsia="黑体"/>
          <w:sz w:val="36"/>
          <w:szCs w:val="36"/>
        </w:rPr>
      </w:pPr>
      <w:r>
        <w:rPr>
          <w:rFonts w:hint="eastAsia" w:ascii="黑体" w:hAnsi="黑体" w:eastAsia="黑体"/>
          <w:sz w:val="36"/>
          <w:szCs w:val="36"/>
        </w:rPr>
        <w:t>电商询价采购文件</w:t>
      </w:r>
    </w:p>
    <w:tbl>
      <w:tblPr>
        <w:tblStyle w:val="12"/>
        <w:tblW w:w="9930" w:type="dxa"/>
        <w:tblInd w:w="-743" w:type="dxa"/>
        <w:tblLayout w:type="fixed"/>
        <w:tblCellMar>
          <w:top w:w="0" w:type="dxa"/>
          <w:left w:w="108" w:type="dxa"/>
          <w:bottom w:w="0" w:type="dxa"/>
          <w:right w:w="108" w:type="dxa"/>
        </w:tblCellMar>
      </w:tblPr>
      <w:tblGrid>
        <w:gridCol w:w="1563"/>
        <w:gridCol w:w="2130"/>
        <w:gridCol w:w="6237"/>
      </w:tblGrid>
      <w:tr>
        <w:tblPrEx>
          <w:tblLayout w:type="fixed"/>
          <w:tblCellMar>
            <w:top w:w="0" w:type="dxa"/>
            <w:left w:w="108" w:type="dxa"/>
            <w:bottom w:w="0" w:type="dxa"/>
            <w:right w:w="108" w:type="dxa"/>
          </w:tblCellMar>
        </w:tblPrEx>
        <w:trPr>
          <w:trHeight w:val="315" w:hRule="atLeast"/>
        </w:trPr>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条款号</w:t>
            </w:r>
          </w:p>
        </w:tc>
        <w:tc>
          <w:tcPr>
            <w:tcW w:w="213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条款名称</w:t>
            </w:r>
          </w:p>
        </w:tc>
        <w:tc>
          <w:tcPr>
            <w:tcW w:w="6237" w:type="dxa"/>
            <w:tcBorders>
              <w:top w:val="single" w:color="auto" w:sz="8" w:space="0"/>
              <w:left w:val="nil"/>
              <w:bottom w:val="single" w:color="auto" w:sz="8" w:space="0"/>
              <w:right w:val="single" w:color="auto" w:sz="8" w:space="0"/>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主要内容</w:t>
            </w:r>
          </w:p>
        </w:tc>
      </w:tr>
      <w:tr>
        <w:tblPrEx>
          <w:tblLayout w:type="fixed"/>
          <w:tblCellMar>
            <w:top w:w="0" w:type="dxa"/>
            <w:left w:w="108" w:type="dxa"/>
            <w:bottom w:w="0" w:type="dxa"/>
            <w:right w:w="108" w:type="dxa"/>
          </w:tblCellMar>
        </w:tblPrEx>
        <w:trPr>
          <w:trHeight w:val="300" w:hRule="atLeast"/>
        </w:trPr>
        <w:tc>
          <w:tcPr>
            <w:tcW w:w="1563" w:type="dxa"/>
            <w:tcBorders>
              <w:top w:val="nil"/>
              <w:left w:val="single" w:color="auto" w:sz="4" w:space="0"/>
              <w:bottom w:val="single" w:color="auto" w:sz="4" w:space="0"/>
              <w:right w:val="single" w:color="auto" w:sz="4" w:space="0"/>
            </w:tcBorders>
            <w:shd w:val="clear" w:color="auto" w:fill="FFFFFF"/>
            <w:vAlign w:val="center"/>
          </w:tcPr>
          <w:p>
            <w:pPr>
              <w:widowControl/>
              <w:jc w:val="center"/>
              <w:rPr>
                <w:rFonts w:cs="宋体"/>
                <w:kern w:val="0"/>
                <w:sz w:val="22"/>
              </w:rPr>
            </w:pPr>
            <w:r>
              <w:rPr>
                <w:rFonts w:cs="宋体"/>
                <w:kern w:val="0"/>
                <w:sz w:val="22"/>
              </w:rPr>
              <w:t>1</w:t>
            </w:r>
          </w:p>
        </w:tc>
        <w:tc>
          <w:tcPr>
            <w:tcW w:w="2130" w:type="dxa"/>
            <w:tcBorders>
              <w:top w:val="nil"/>
              <w:left w:val="nil"/>
              <w:bottom w:val="nil"/>
              <w:right w:val="single" w:color="auto" w:sz="4" w:space="0"/>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采购名称</w:t>
            </w:r>
          </w:p>
        </w:tc>
        <w:tc>
          <w:tcPr>
            <w:tcW w:w="6237" w:type="dxa"/>
            <w:tcBorders>
              <w:top w:val="nil"/>
              <w:left w:val="nil"/>
              <w:bottom w:val="nil"/>
              <w:right w:val="single" w:color="auto" w:sz="8"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锅炉减温水阀门阀杆、阀芯零件加工项目</w:t>
            </w:r>
          </w:p>
        </w:tc>
      </w:tr>
      <w:tr>
        <w:tblPrEx>
          <w:tblLayout w:type="fixed"/>
          <w:tblCellMar>
            <w:top w:w="0" w:type="dxa"/>
            <w:left w:w="108" w:type="dxa"/>
            <w:bottom w:w="0" w:type="dxa"/>
            <w:right w:w="108" w:type="dxa"/>
          </w:tblCellMar>
        </w:tblPrEx>
        <w:trPr>
          <w:trHeight w:val="270" w:hRule="atLeast"/>
        </w:trPr>
        <w:tc>
          <w:tcPr>
            <w:tcW w:w="1563"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rFonts w:cs="宋体"/>
                <w:kern w:val="0"/>
                <w:sz w:val="22"/>
              </w:rPr>
            </w:pPr>
            <w:r>
              <w:rPr>
                <w:rFonts w:cs="宋体"/>
                <w:kern w:val="0"/>
                <w:sz w:val="22"/>
              </w:rPr>
              <w:t>2</w:t>
            </w:r>
          </w:p>
        </w:tc>
        <w:tc>
          <w:tcPr>
            <w:tcW w:w="213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采购单位</w:t>
            </w:r>
          </w:p>
        </w:tc>
        <w:tc>
          <w:tcPr>
            <w:tcW w:w="6237" w:type="dxa"/>
            <w:tcBorders>
              <w:top w:val="single" w:color="auto" w:sz="4" w:space="0"/>
              <w:left w:val="nil"/>
              <w:bottom w:val="nil"/>
              <w:right w:val="single" w:color="auto" w:sz="4"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项目单位：包头第二热电厂</w:t>
            </w:r>
          </w:p>
        </w:tc>
      </w:tr>
      <w:tr>
        <w:tblPrEx>
          <w:tblLayout w:type="fixed"/>
          <w:tblCellMar>
            <w:top w:w="0" w:type="dxa"/>
            <w:left w:w="108" w:type="dxa"/>
            <w:bottom w:w="0" w:type="dxa"/>
            <w:right w:w="108" w:type="dxa"/>
          </w:tblCellMar>
        </w:tblPrEx>
        <w:trPr>
          <w:trHeight w:val="270" w:hRule="atLeast"/>
        </w:trPr>
        <w:tc>
          <w:tcPr>
            <w:tcW w:w="1563"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6237" w:type="dxa"/>
            <w:tcBorders>
              <w:top w:val="nil"/>
              <w:left w:val="nil"/>
              <w:bottom w:val="nil"/>
              <w:right w:val="single" w:color="auto" w:sz="4"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地址：内蒙古包头市青山区</w:t>
            </w:r>
          </w:p>
        </w:tc>
      </w:tr>
      <w:tr>
        <w:tblPrEx>
          <w:tblLayout w:type="fixed"/>
          <w:tblCellMar>
            <w:top w:w="0" w:type="dxa"/>
            <w:left w:w="108" w:type="dxa"/>
            <w:bottom w:w="0" w:type="dxa"/>
            <w:right w:w="108" w:type="dxa"/>
          </w:tblCellMar>
        </w:tblPrEx>
        <w:trPr>
          <w:trHeight w:val="270" w:hRule="atLeast"/>
        </w:trPr>
        <w:tc>
          <w:tcPr>
            <w:tcW w:w="1563"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6237" w:type="dxa"/>
            <w:tcBorders>
              <w:top w:val="nil"/>
              <w:left w:val="nil"/>
              <w:bottom w:val="nil"/>
              <w:right w:val="single" w:color="auto" w:sz="4"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电商询价：黄晨</w:t>
            </w:r>
          </w:p>
        </w:tc>
      </w:tr>
      <w:tr>
        <w:tblPrEx>
          <w:tblLayout w:type="fixed"/>
          <w:tblCellMar>
            <w:top w:w="0" w:type="dxa"/>
            <w:left w:w="108" w:type="dxa"/>
            <w:bottom w:w="0" w:type="dxa"/>
            <w:right w:w="108" w:type="dxa"/>
          </w:tblCellMar>
        </w:tblPrEx>
        <w:trPr>
          <w:trHeight w:val="270" w:hRule="atLeast"/>
        </w:trPr>
        <w:tc>
          <w:tcPr>
            <w:tcW w:w="1563"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6237" w:type="dxa"/>
            <w:tcBorders>
              <w:top w:val="nil"/>
              <w:left w:val="nil"/>
              <w:bottom w:val="nil"/>
              <w:right w:val="single" w:color="auto" w:sz="4" w:space="0"/>
            </w:tcBorders>
            <w:shd w:val="clear" w:color="auto" w:fill="FFFFFF"/>
            <w:vAlign w:val="center"/>
          </w:tcPr>
          <w:p>
            <w:pPr>
              <w:widowControl/>
              <w:jc w:val="left"/>
              <w:rPr>
                <w:rFonts w:hint="eastAsia" w:ascii="宋体" w:hAnsi="宋体" w:eastAsia="宋体" w:cs="宋体"/>
                <w:kern w:val="0"/>
                <w:sz w:val="22"/>
                <w:lang w:val="en-US" w:eastAsia="zh-CN"/>
              </w:rPr>
            </w:pPr>
            <w:r>
              <w:rPr>
                <w:rFonts w:hint="eastAsia" w:ascii="宋体" w:hAnsi="宋体" w:cs="宋体"/>
                <w:kern w:val="0"/>
                <w:sz w:val="22"/>
              </w:rPr>
              <w:t>联系方式：</w:t>
            </w:r>
            <w:r>
              <w:rPr>
                <w:rFonts w:hint="eastAsia" w:ascii="宋体" w:hAnsi="宋体" w:cs="宋体"/>
                <w:kern w:val="0"/>
                <w:sz w:val="22"/>
                <w:lang w:val="en-US" w:eastAsia="zh-CN"/>
              </w:rPr>
              <w:t>0472-6161497   13214948699</w:t>
            </w:r>
          </w:p>
        </w:tc>
      </w:tr>
      <w:tr>
        <w:tblPrEx>
          <w:tblLayout w:type="fixed"/>
          <w:tblCellMar>
            <w:top w:w="0" w:type="dxa"/>
            <w:left w:w="108" w:type="dxa"/>
            <w:bottom w:w="0" w:type="dxa"/>
            <w:right w:w="108" w:type="dxa"/>
          </w:tblCellMar>
        </w:tblPrEx>
        <w:trPr>
          <w:trHeight w:val="270" w:hRule="atLeast"/>
        </w:trPr>
        <w:tc>
          <w:tcPr>
            <w:tcW w:w="1563"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6237" w:type="dxa"/>
            <w:tcBorders>
              <w:top w:val="nil"/>
              <w:left w:val="nil"/>
              <w:bottom w:val="single" w:color="auto" w:sz="4" w:space="0"/>
              <w:right w:val="single" w:color="auto" w:sz="4" w:space="0"/>
            </w:tcBorders>
            <w:shd w:val="clear" w:color="auto" w:fill="FFFFFF"/>
            <w:vAlign w:val="center"/>
          </w:tcPr>
          <w:p>
            <w:pPr>
              <w:widowControl/>
              <w:jc w:val="left"/>
              <w:rPr>
                <w:rFonts w:ascii="宋体" w:hAnsi="宋体" w:cs="宋体"/>
                <w:kern w:val="0"/>
                <w:sz w:val="22"/>
              </w:rPr>
            </w:pPr>
          </w:p>
        </w:tc>
      </w:tr>
      <w:tr>
        <w:tblPrEx>
          <w:tblLayout w:type="fixed"/>
          <w:tblCellMar>
            <w:top w:w="0" w:type="dxa"/>
            <w:left w:w="108" w:type="dxa"/>
            <w:bottom w:w="0" w:type="dxa"/>
            <w:right w:w="108" w:type="dxa"/>
          </w:tblCellMar>
        </w:tblPrEx>
        <w:trPr>
          <w:trHeight w:val="80" w:hRule="atLeast"/>
        </w:trPr>
        <w:tc>
          <w:tcPr>
            <w:tcW w:w="1563" w:type="dxa"/>
            <w:tcBorders>
              <w:top w:val="nil"/>
              <w:left w:val="single" w:color="auto" w:sz="4" w:space="0"/>
              <w:bottom w:val="single" w:color="auto" w:sz="4" w:space="0"/>
              <w:right w:val="single" w:color="auto" w:sz="4" w:space="0"/>
            </w:tcBorders>
            <w:shd w:val="clear" w:color="auto" w:fill="FFFFFF"/>
            <w:vAlign w:val="center"/>
          </w:tcPr>
          <w:p>
            <w:pPr>
              <w:widowControl/>
              <w:jc w:val="center"/>
              <w:rPr>
                <w:rFonts w:cs="宋体"/>
                <w:kern w:val="0"/>
                <w:sz w:val="22"/>
              </w:rPr>
            </w:pPr>
            <w:r>
              <w:rPr>
                <w:rFonts w:cs="宋体"/>
                <w:kern w:val="0"/>
                <w:sz w:val="22"/>
              </w:rPr>
              <w:t>3</w:t>
            </w:r>
          </w:p>
        </w:tc>
        <w:tc>
          <w:tcPr>
            <w:tcW w:w="2130"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采购范围</w:t>
            </w:r>
          </w:p>
        </w:tc>
        <w:tc>
          <w:tcPr>
            <w:tcW w:w="6237" w:type="dxa"/>
            <w:tcBorders>
              <w:top w:val="nil"/>
              <w:left w:val="nil"/>
              <w:bottom w:val="single" w:color="auto" w:sz="4" w:space="0"/>
              <w:right w:val="single" w:color="auto" w:sz="4"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减温水阀门阀杆、阀芯零件加工</w:t>
            </w:r>
          </w:p>
        </w:tc>
      </w:tr>
      <w:tr>
        <w:tblPrEx>
          <w:tblLayout w:type="fixed"/>
          <w:tblCellMar>
            <w:top w:w="0" w:type="dxa"/>
            <w:left w:w="108" w:type="dxa"/>
            <w:bottom w:w="0" w:type="dxa"/>
            <w:right w:w="108" w:type="dxa"/>
          </w:tblCellMar>
        </w:tblPrEx>
        <w:trPr>
          <w:trHeight w:val="127" w:hRule="atLeast"/>
        </w:trPr>
        <w:tc>
          <w:tcPr>
            <w:tcW w:w="1563" w:type="dxa"/>
            <w:tcBorders>
              <w:top w:val="nil"/>
              <w:left w:val="single" w:color="auto" w:sz="4" w:space="0"/>
              <w:bottom w:val="single" w:color="auto" w:sz="4" w:space="0"/>
              <w:right w:val="single" w:color="auto" w:sz="4" w:space="0"/>
            </w:tcBorders>
            <w:shd w:val="clear" w:color="auto" w:fill="FFFFFF"/>
            <w:vAlign w:val="center"/>
          </w:tcPr>
          <w:p>
            <w:pPr>
              <w:widowControl/>
              <w:jc w:val="center"/>
              <w:rPr>
                <w:rFonts w:cs="宋体"/>
                <w:kern w:val="0"/>
                <w:sz w:val="22"/>
              </w:rPr>
            </w:pPr>
            <w:r>
              <w:rPr>
                <w:rFonts w:cs="宋体"/>
                <w:kern w:val="0"/>
                <w:sz w:val="22"/>
              </w:rPr>
              <w:t>4</w:t>
            </w:r>
          </w:p>
        </w:tc>
        <w:tc>
          <w:tcPr>
            <w:tcW w:w="2130"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服务期限</w:t>
            </w:r>
          </w:p>
        </w:tc>
        <w:tc>
          <w:tcPr>
            <w:tcW w:w="6237" w:type="dxa"/>
            <w:tcBorders>
              <w:top w:val="nil"/>
              <w:left w:val="nil"/>
              <w:bottom w:val="single" w:color="auto" w:sz="4" w:space="0"/>
              <w:right w:val="single" w:color="auto" w:sz="4"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办理开工手续后30天内完成</w:t>
            </w:r>
          </w:p>
        </w:tc>
      </w:tr>
      <w:tr>
        <w:tblPrEx>
          <w:tblLayout w:type="fixed"/>
          <w:tblCellMar>
            <w:top w:w="0" w:type="dxa"/>
            <w:left w:w="108" w:type="dxa"/>
            <w:bottom w:w="0" w:type="dxa"/>
            <w:right w:w="108" w:type="dxa"/>
          </w:tblCellMar>
        </w:tblPrEx>
        <w:trPr>
          <w:trHeight w:val="942" w:hRule="atLeast"/>
        </w:trPr>
        <w:tc>
          <w:tcPr>
            <w:tcW w:w="1563" w:type="dxa"/>
            <w:tcBorders>
              <w:top w:val="nil"/>
              <w:left w:val="single" w:color="auto" w:sz="4" w:space="0"/>
              <w:bottom w:val="nil"/>
              <w:right w:val="single" w:color="auto" w:sz="4" w:space="0"/>
            </w:tcBorders>
            <w:shd w:val="clear" w:color="auto" w:fill="FFFFFF"/>
            <w:vAlign w:val="center"/>
          </w:tcPr>
          <w:p>
            <w:pPr>
              <w:widowControl/>
              <w:jc w:val="center"/>
              <w:rPr>
                <w:rFonts w:cs="宋体" w:asciiTheme="minorHAnsi" w:hAnsiTheme="minorHAnsi" w:eastAsiaTheme="minorEastAsia"/>
                <w:kern w:val="0"/>
                <w:sz w:val="22"/>
              </w:rPr>
            </w:pPr>
            <w:r>
              <w:rPr>
                <w:rFonts w:cs="宋体"/>
                <w:kern w:val="0"/>
                <w:sz w:val="22"/>
              </w:rPr>
              <w:t>5</w:t>
            </w:r>
          </w:p>
        </w:tc>
        <w:tc>
          <w:tcPr>
            <w:tcW w:w="2130"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eastAsiaTheme="minorEastAsia"/>
                <w:kern w:val="0"/>
                <w:sz w:val="22"/>
              </w:rPr>
            </w:pPr>
            <w:r>
              <w:rPr>
                <w:rFonts w:hint="eastAsia" w:ascii="宋体" w:hAnsi="宋体" w:cs="宋体"/>
                <w:kern w:val="0"/>
                <w:sz w:val="22"/>
              </w:rPr>
              <w:t>询价程序</w:t>
            </w:r>
          </w:p>
        </w:tc>
        <w:tc>
          <w:tcPr>
            <w:tcW w:w="6237" w:type="dxa"/>
            <w:tcBorders>
              <w:top w:val="nil"/>
              <w:left w:val="nil"/>
              <w:bottom w:val="single" w:color="auto" w:sz="4" w:space="0"/>
              <w:right w:val="single" w:color="auto" w:sz="4" w:space="0"/>
            </w:tcBorders>
            <w:shd w:val="clear" w:color="auto" w:fill="FFFFFF"/>
            <w:vAlign w:val="center"/>
          </w:tcPr>
          <w:p>
            <w:pPr>
              <w:widowControl/>
              <w:jc w:val="left"/>
              <w:rPr>
                <w:rFonts w:ascii="宋体" w:hAnsi="宋体" w:cs="宋体"/>
                <w:sz w:val="22"/>
                <w:szCs w:val="20"/>
              </w:rPr>
            </w:pPr>
            <w:r>
              <w:rPr>
                <w:rFonts w:hint="eastAsia" w:ascii="宋体" w:hAnsi="宋体" w:cs="宋体"/>
                <w:sz w:val="22"/>
              </w:rPr>
              <w:t>(1) 采购方制定询价文件；</w:t>
            </w:r>
          </w:p>
          <w:p>
            <w:pPr>
              <w:widowControl/>
              <w:jc w:val="left"/>
              <w:rPr>
                <w:rFonts w:ascii="宋体" w:hAnsi="宋体" w:cs="宋体"/>
                <w:color w:val="7030A0"/>
                <w:sz w:val="22"/>
              </w:rPr>
            </w:pPr>
            <w:r>
              <w:rPr>
                <w:rFonts w:hint="eastAsia" w:ascii="宋体" w:hAnsi="宋体" w:cs="宋体"/>
                <w:color w:val="7030A0"/>
                <w:sz w:val="22"/>
              </w:rPr>
              <w:t>(2) 采购方发起电商平台公开询价；</w:t>
            </w:r>
          </w:p>
          <w:p>
            <w:pPr>
              <w:widowControl/>
              <w:jc w:val="left"/>
              <w:rPr>
                <w:rFonts w:ascii="宋体" w:hAnsi="宋体" w:cs="宋体"/>
                <w:color w:val="7030A0"/>
                <w:sz w:val="22"/>
              </w:rPr>
            </w:pPr>
            <w:r>
              <w:rPr>
                <w:rFonts w:hint="eastAsia" w:ascii="宋体" w:hAnsi="宋体" w:cs="宋体"/>
                <w:color w:val="7030A0"/>
                <w:sz w:val="22"/>
              </w:rPr>
              <w:t>(3) 供应商严格按照询价文件要求编制并按时在线递交响应文件（含符合要求的资质、资格和报价清单等）；</w:t>
            </w:r>
          </w:p>
          <w:p>
            <w:pPr>
              <w:widowControl/>
              <w:jc w:val="left"/>
              <w:rPr>
                <w:rFonts w:ascii="宋体" w:hAnsi="宋体" w:cs="宋体"/>
                <w:color w:val="7030A0"/>
                <w:sz w:val="22"/>
              </w:rPr>
            </w:pPr>
            <w:r>
              <w:rPr>
                <w:rFonts w:hint="eastAsia" w:ascii="宋体" w:hAnsi="宋体" w:cs="宋体"/>
                <w:color w:val="7030A0"/>
                <w:sz w:val="22"/>
              </w:rPr>
              <w:t>(4) 采购方组织评审；</w:t>
            </w:r>
          </w:p>
          <w:p>
            <w:pPr>
              <w:widowControl/>
              <w:adjustRightInd w:val="0"/>
              <w:jc w:val="left"/>
              <w:rPr>
                <w:rFonts w:ascii="宋体" w:hAnsi="宋体" w:cs="宋体"/>
                <w:sz w:val="22"/>
              </w:rPr>
            </w:pPr>
            <w:r>
              <w:rPr>
                <w:rFonts w:hint="eastAsia" w:ascii="宋体" w:hAnsi="宋体" w:cs="宋体"/>
                <w:sz w:val="22"/>
              </w:rPr>
              <w:t>(5) 采购方确定成交候选人及成交人。</w:t>
            </w:r>
          </w:p>
        </w:tc>
      </w:tr>
      <w:tr>
        <w:tblPrEx>
          <w:tblLayout w:type="fixed"/>
          <w:tblCellMar>
            <w:top w:w="0" w:type="dxa"/>
            <w:left w:w="108" w:type="dxa"/>
            <w:bottom w:w="0" w:type="dxa"/>
            <w:right w:w="108" w:type="dxa"/>
          </w:tblCellMar>
        </w:tblPrEx>
        <w:trPr>
          <w:trHeight w:val="1379" w:hRule="atLeast"/>
        </w:trPr>
        <w:tc>
          <w:tcPr>
            <w:tcW w:w="1563" w:type="dxa"/>
            <w:tcBorders>
              <w:top w:val="single" w:color="auto" w:sz="4" w:space="0"/>
              <w:left w:val="single" w:color="auto" w:sz="4" w:space="0"/>
              <w:bottom w:val="nil"/>
              <w:right w:val="single" w:color="auto" w:sz="4" w:space="0"/>
            </w:tcBorders>
            <w:shd w:val="clear" w:color="auto" w:fill="FFFFFF"/>
            <w:vAlign w:val="center"/>
          </w:tcPr>
          <w:p>
            <w:pPr>
              <w:widowControl/>
              <w:jc w:val="center"/>
              <w:rPr>
                <w:rFonts w:cs="宋体" w:asciiTheme="minorHAnsi" w:hAnsiTheme="minorHAnsi" w:eastAsiaTheme="minorEastAsia"/>
                <w:kern w:val="0"/>
                <w:sz w:val="22"/>
              </w:rPr>
            </w:pPr>
            <w:r>
              <w:rPr>
                <w:rFonts w:cs="宋体"/>
                <w:kern w:val="0"/>
                <w:sz w:val="22"/>
              </w:rPr>
              <w:t>6</w:t>
            </w:r>
          </w:p>
        </w:tc>
        <w:tc>
          <w:tcPr>
            <w:tcW w:w="2130"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eastAsiaTheme="minorEastAsia"/>
                <w:kern w:val="0"/>
                <w:sz w:val="22"/>
              </w:rPr>
            </w:pPr>
            <w:r>
              <w:rPr>
                <w:rFonts w:hint="eastAsia" w:ascii="宋体" w:hAnsi="宋体" w:cs="宋体"/>
                <w:kern w:val="0"/>
                <w:sz w:val="22"/>
              </w:rPr>
              <w:t>报价要求</w:t>
            </w:r>
          </w:p>
        </w:tc>
        <w:tc>
          <w:tcPr>
            <w:tcW w:w="6237" w:type="dxa"/>
            <w:tcBorders>
              <w:top w:val="nil"/>
              <w:left w:val="nil"/>
              <w:bottom w:val="single" w:color="auto" w:sz="4" w:space="0"/>
              <w:right w:val="single" w:color="auto" w:sz="4" w:space="0"/>
            </w:tcBorders>
            <w:shd w:val="clear" w:color="auto" w:fill="FFFFFF"/>
            <w:vAlign w:val="center"/>
          </w:tcPr>
          <w:p>
            <w:pPr>
              <w:widowControl/>
              <w:jc w:val="left"/>
              <w:rPr>
                <w:rFonts w:ascii="宋体" w:hAnsi="宋体" w:cs="宋体"/>
                <w:sz w:val="22"/>
                <w:szCs w:val="20"/>
              </w:rPr>
            </w:pPr>
            <w:r>
              <w:rPr>
                <w:rFonts w:hint="eastAsia" w:ascii="宋体" w:hAnsi="宋体" w:cs="宋体"/>
                <w:sz w:val="22"/>
              </w:rPr>
              <w:t>(1) 报价方必须按照清单分项报价；</w:t>
            </w:r>
          </w:p>
          <w:p>
            <w:pPr>
              <w:widowControl/>
              <w:jc w:val="left"/>
              <w:rPr>
                <w:rFonts w:ascii="宋体" w:hAnsi="宋体" w:cs="宋体"/>
                <w:sz w:val="22"/>
              </w:rPr>
            </w:pPr>
            <w:r>
              <w:rPr>
                <w:rFonts w:hint="eastAsia" w:ascii="宋体" w:hAnsi="宋体" w:cs="宋体"/>
                <w:sz w:val="22"/>
              </w:rPr>
              <w:t>(2) 报价必须含运杂费，并注明有效期；</w:t>
            </w:r>
          </w:p>
          <w:p>
            <w:pPr>
              <w:widowControl/>
              <w:jc w:val="left"/>
              <w:rPr>
                <w:rFonts w:ascii="宋体" w:hAnsi="宋体" w:cs="宋体"/>
                <w:sz w:val="22"/>
              </w:rPr>
            </w:pPr>
            <w:r>
              <w:rPr>
                <w:rFonts w:hint="eastAsia" w:ascii="宋体" w:hAnsi="宋体" w:cs="宋体"/>
                <w:sz w:val="22"/>
              </w:rPr>
              <w:t>(3) 缺项、漏项或无分项报价视同报价无效；</w:t>
            </w:r>
          </w:p>
          <w:p>
            <w:pPr>
              <w:widowControl/>
              <w:adjustRightInd w:val="0"/>
              <w:jc w:val="left"/>
              <w:rPr>
                <w:rFonts w:ascii="宋体" w:hAnsi="宋体" w:cs="宋体"/>
                <w:sz w:val="22"/>
              </w:rPr>
            </w:pPr>
            <w:r>
              <w:rPr>
                <w:rFonts w:hint="eastAsia" w:ascii="宋体" w:hAnsi="宋体" w:cs="宋体"/>
                <w:sz w:val="22"/>
              </w:rPr>
              <w:t>(4) 分项报价与总价不一致视为报价无效。</w:t>
            </w:r>
          </w:p>
        </w:tc>
      </w:tr>
      <w:tr>
        <w:tblPrEx>
          <w:tblLayout w:type="fixed"/>
          <w:tblCellMar>
            <w:top w:w="0" w:type="dxa"/>
            <w:left w:w="108" w:type="dxa"/>
            <w:bottom w:w="0" w:type="dxa"/>
            <w:right w:w="108" w:type="dxa"/>
          </w:tblCellMar>
        </w:tblPrEx>
        <w:trPr>
          <w:trHeight w:val="398" w:hRule="atLeast"/>
        </w:trPr>
        <w:tc>
          <w:tcPr>
            <w:tcW w:w="1563"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cs="宋体" w:asciiTheme="minorHAnsi" w:hAnsiTheme="minorHAnsi" w:eastAsiaTheme="minorEastAsia"/>
                <w:kern w:val="0"/>
                <w:sz w:val="22"/>
              </w:rPr>
            </w:pPr>
            <w:r>
              <w:rPr>
                <w:rFonts w:cs="宋体"/>
                <w:kern w:val="0"/>
                <w:sz w:val="22"/>
              </w:rPr>
              <w:t>7</w:t>
            </w:r>
          </w:p>
        </w:tc>
        <w:tc>
          <w:tcPr>
            <w:tcW w:w="2130"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eastAsiaTheme="minorEastAsia"/>
                <w:kern w:val="0"/>
                <w:sz w:val="22"/>
              </w:rPr>
            </w:pPr>
            <w:r>
              <w:rPr>
                <w:rFonts w:hint="eastAsia" w:ascii="宋体" w:hAnsi="宋体" w:cs="宋体"/>
                <w:kern w:val="0"/>
                <w:sz w:val="22"/>
              </w:rPr>
              <w:t>电子报价文件递交截止时间</w:t>
            </w:r>
          </w:p>
        </w:tc>
        <w:tc>
          <w:tcPr>
            <w:tcW w:w="6237" w:type="dxa"/>
            <w:tcBorders>
              <w:top w:val="nil"/>
              <w:left w:val="nil"/>
              <w:bottom w:val="single" w:color="auto" w:sz="8" w:space="0"/>
              <w:right w:val="single" w:color="auto" w:sz="8"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中国华能集团公司电子商务平台规定日期内</w:t>
            </w:r>
          </w:p>
        </w:tc>
      </w:tr>
      <w:tr>
        <w:tblPrEx>
          <w:tblLayout w:type="fixed"/>
          <w:tblCellMar>
            <w:top w:w="0" w:type="dxa"/>
            <w:left w:w="108" w:type="dxa"/>
            <w:bottom w:w="0" w:type="dxa"/>
            <w:right w:w="108" w:type="dxa"/>
          </w:tblCellMar>
        </w:tblPrEx>
        <w:trPr>
          <w:trHeight w:val="570" w:hRule="atLeast"/>
        </w:trPr>
        <w:tc>
          <w:tcPr>
            <w:tcW w:w="15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HAnsi" w:hAnsiTheme="minorHAnsi" w:eastAsiaTheme="minorEastAsia"/>
                <w:kern w:val="0"/>
                <w:sz w:val="22"/>
              </w:rPr>
            </w:pPr>
          </w:p>
        </w:tc>
        <w:tc>
          <w:tcPr>
            <w:tcW w:w="2130"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电子报价文件递交方式</w:t>
            </w:r>
          </w:p>
        </w:tc>
        <w:tc>
          <w:tcPr>
            <w:tcW w:w="6237" w:type="dxa"/>
            <w:tcBorders>
              <w:top w:val="nil"/>
              <w:left w:val="nil"/>
              <w:bottom w:val="single" w:color="auto" w:sz="4" w:space="0"/>
              <w:right w:val="single" w:color="auto" w:sz="8"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报价人通过中国华能集团公司电子商务平台在规定日期内进行报价并上传要求的附件（报价）不上传附件均视为无效报价，并纳入供应商考核。</w:t>
            </w:r>
          </w:p>
        </w:tc>
      </w:tr>
      <w:tr>
        <w:tblPrEx>
          <w:tblLayout w:type="fixed"/>
          <w:tblCellMar>
            <w:top w:w="0" w:type="dxa"/>
            <w:left w:w="108" w:type="dxa"/>
            <w:bottom w:w="0" w:type="dxa"/>
            <w:right w:w="108" w:type="dxa"/>
          </w:tblCellMar>
        </w:tblPrEx>
        <w:trPr>
          <w:trHeight w:val="253" w:hRule="atLeast"/>
        </w:trPr>
        <w:tc>
          <w:tcPr>
            <w:tcW w:w="1563" w:type="dxa"/>
            <w:tcBorders>
              <w:top w:val="single" w:color="auto" w:sz="4" w:space="0"/>
              <w:left w:val="single" w:color="auto" w:sz="4" w:space="0"/>
              <w:bottom w:val="nil"/>
              <w:right w:val="single" w:color="auto" w:sz="4" w:space="0"/>
            </w:tcBorders>
            <w:shd w:val="clear" w:color="auto" w:fill="FFFFFF"/>
            <w:vAlign w:val="center"/>
          </w:tcPr>
          <w:p>
            <w:pPr>
              <w:widowControl/>
              <w:adjustRightInd w:val="0"/>
              <w:spacing w:line="300" w:lineRule="auto"/>
              <w:jc w:val="center"/>
              <w:rPr>
                <w:rFonts w:cs="宋体" w:eastAsiaTheme="minorEastAsia"/>
                <w:sz w:val="22"/>
              </w:rPr>
            </w:pPr>
            <w:r>
              <w:rPr>
                <w:rFonts w:cs="宋体"/>
                <w:sz w:val="22"/>
              </w:rPr>
              <w:t>8</w:t>
            </w:r>
          </w:p>
        </w:tc>
        <w:tc>
          <w:tcPr>
            <w:tcW w:w="2130" w:type="dxa"/>
            <w:tcBorders>
              <w:top w:val="single" w:color="auto" w:sz="4" w:space="0"/>
              <w:left w:val="nil"/>
              <w:bottom w:val="nil"/>
              <w:right w:val="single" w:color="auto" w:sz="4" w:space="0"/>
            </w:tcBorders>
            <w:shd w:val="clear" w:color="auto" w:fill="FFFFFF"/>
            <w:vAlign w:val="center"/>
          </w:tcPr>
          <w:p>
            <w:pPr>
              <w:widowControl/>
              <w:adjustRightInd w:val="0"/>
              <w:spacing w:line="300" w:lineRule="auto"/>
              <w:jc w:val="center"/>
              <w:rPr>
                <w:rFonts w:ascii="宋体" w:hAnsi="宋体" w:cs="宋体" w:eastAsiaTheme="minorEastAsia"/>
                <w:sz w:val="22"/>
              </w:rPr>
            </w:pPr>
            <w:r>
              <w:rPr>
                <w:rFonts w:hint="eastAsia" w:ascii="宋体" w:hAnsi="宋体" w:cs="宋体"/>
                <w:sz w:val="22"/>
              </w:rPr>
              <w:t>付款方式</w:t>
            </w:r>
          </w:p>
        </w:tc>
        <w:tc>
          <w:tcPr>
            <w:tcW w:w="6237" w:type="dxa"/>
            <w:tcBorders>
              <w:top w:val="single" w:color="auto" w:sz="4" w:space="0"/>
              <w:left w:val="nil"/>
              <w:bottom w:val="nil"/>
              <w:right w:val="single" w:color="auto" w:sz="4" w:space="0"/>
            </w:tcBorders>
            <w:shd w:val="clear" w:color="auto" w:fill="FFFFFF"/>
            <w:vAlign w:val="center"/>
          </w:tcPr>
          <w:p>
            <w:pPr>
              <w:widowControl/>
              <w:adjustRightInd w:val="0"/>
              <w:spacing w:line="300" w:lineRule="auto"/>
              <w:jc w:val="left"/>
              <w:rPr>
                <w:rFonts w:ascii="宋体" w:hAnsi="宋体" w:cs="宋体"/>
                <w:kern w:val="0"/>
                <w:sz w:val="22"/>
              </w:rPr>
            </w:pPr>
            <w:r>
              <w:rPr>
                <w:rFonts w:hint="eastAsia" w:ascii="宋体" w:hAnsi="宋体" w:cs="宋体"/>
                <w:kern w:val="0"/>
                <w:sz w:val="22"/>
              </w:rPr>
              <w:t>无法接受后付款方式的供应商不得随意参与报价，否则将纳入考评。</w:t>
            </w:r>
          </w:p>
        </w:tc>
      </w:tr>
      <w:tr>
        <w:tblPrEx>
          <w:tblLayout w:type="fixed"/>
          <w:tblCellMar>
            <w:top w:w="0" w:type="dxa"/>
            <w:left w:w="108" w:type="dxa"/>
            <w:bottom w:w="0" w:type="dxa"/>
            <w:right w:w="108" w:type="dxa"/>
          </w:tblCellMar>
        </w:tblPrEx>
        <w:trPr>
          <w:trHeight w:val="1078" w:hRule="atLeast"/>
        </w:trPr>
        <w:tc>
          <w:tcPr>
            <w:tcW w:w="1563" w:type="dxa"/>
            <w:tcBorders>
              <w:top w:val="single" w:color="auto" w:sz="4" w:space="0"/>
              <w:left w:val="single" w:color="auto" w:sz="4" w:space="0"/>
              <w:bottom w:val="nil"/>
              <w:right w:val="single" w:color="auto" w:sz="4" w:space="0"/>
            </w:tcBorders>
            <w:shd w:val="clear" w:color="auto" w:fill="FFFFFF"/>
            <w:vAlign w:val="center"/>
          </w:tcPr>
          <w:p>
            <w:pPr>
              <w:widowControl/>
              <w:adjustRightInd w:val="0"/>
              <w:spacing w:line="300" w:lineRule="auto"/>
              <w:jc w:val="center"/>
              <w:rPr>
                <w:rFonts w:cs="宋体" w:eastAsiaTheme="minorEastAsia"/>
                <w:sz w:val="22"/>
              </w:rPr>
            </w:pPr>
            <w:r>
              <w:rPr>
                <w:rFonts w:cs="宋体"/>
                <w:sz w:val="22"/>
              </w:rPr>
              <w:t>9</w:t>
            </w:r>
          </w:p>
        </w:tc>
        <w:tc>
          <w:tcPr>
            <w:tcW w:w="2130" w:type="dxa"/>
            <w:tcBorders>
              <w:top w:val="single" w:color="auto" w:sz="4" w:space="0"/>
              <w:left w:val="nil"/>
              <w:bottom w:val="nil"/>
              <w:right w:val="single" w:color="auto" w:sz="4" w:space="0"/>
            </w:tcBorders>
            <w:shd w:val="clear" w:color="auto" w:fill="FFFFFF"/>
            <w:vAlign w:val="center"/>
          </w:tcPr>
          <w:p>
            <w:pPr>
              <w:widowControl/>
              <w:adjustRightInd w:val="0"/>
              <w:spacing w:line="300" w:lineRule="auto"/>
              <w:jc w:val="center"/>
              <w:rPr>
                <w:rFonts w:ascii="宋体" w:hAnsi="宋体" w:cs="宋体" w:eastAsiaTheme="minorEastAsia"/>
                <w:sz w:val="22"/>
              </w:rPr>
            </w:pPr>
            <w:r>
              <w:rPr>
                <w:rFonts w:hint="eastAsia" w:ascii="宋体" w:hAnsi="宋体" w:cs="宋体"/>
                <w:sz w:val="22"/>
              </w:rPr>
              <w:t>工期</w:t>
            </w:r>
          </w:p>
        </w:tc>
        <w:tc>
          <w:tcPr>
            <w:tcW w:w="6237" w:type="dxa"/>
            <w:tcBorders>
              <w:top w:val="single" w:color="auto" w:sz="4" w:space="0"/>
              <w:left w:val="nil"/>
              <w:bottom w:val="nil"/>
              <w:right w:val="single" w:color="auto" w:sz="4"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签订合同、办理开工手续后签订合同、办理开工手续后30天内完成，如不能满足严禁参与报价，否则终止合同并纳入供应商考评。</w:t>
            </w:r>
          </w:p>
        </w:tc>
      </w:tr>
      <w:tr>
        <w:tblPrEx>
          <w:tblLayout w:type="fixed"/>
          <w:tblCellMar>
            <w:top w:w="0" w:type="dxa"/>
            <w:left w:w="108" w:type="dxa"/>
            <w:bottom w:w="0" w:type="dxa"/>
            <w:right w:w="108" w:type="dxa"/>
          </w:tblCellMar>
        </w:tblPrEx>
        <w:trPr>
          <w:trHeight w:val="457" w:hRule="atLeast"/>
        </w:trPr>
        <w:tc>
          <w:tcPr>
            <w:tcW w:w="1563" w:type="dxa"/>
            <w:tcBorders>
              <w:top w:val="single" w:color="auto" w:sz="4" w:space="0"/>
              <w:left w:val="single" w:color="auto" w:sz="4" w:space="0"/>
              <w:bottom w:val="nil"/>
              <w:right w:val="single" w:color="auto" w:sz="4" w:space="0"/>
            </w:tcBorders>
            <w:shd w:val="clear" w:color="auto" w:fill="FFFFFF"/>
            <w:vAlign w:val="center"/>
          </w:tcPr>
          <w:p>
            <w:pPr>
              <w:widowControl/>
              <w:adjustRightInd w:val="0"/>
              <w:spacing w:line="300" w:lineRule="auto"/>
              <w:jc w:val="center"/>
              <w:rPr>
                <w:rFonts w:cs="宋体" w:eastAsiaTheme="minorEastAsia"/>
                <w:sz w:val="22"/>
              </w:rPr>
            </w:pPr>
            <w:r>
              <w:rPr>
                <w:rFonts w:cs="宋体"/>
                <w:sz w:val="22"/>
              </w:rPr>
              <w:t>10</w:t>
            </w:r>
          </w:p>
        </w:tc>
        <w:tc>
          <w:tcPr>
            <w:tcW w:w="2130" w:type="dxa"/>
            <w:tcBorders>
              <w:top w:val="single" w:color="auto" w:sz="4" w:space="0"/>
              <w:left w:val="nil"/>
              <w:bottom w:val="nil"/>
              <w:right w:val="single" w:color="auto" w:sz="4" w:space="0"/>
            </w:tcBorders>
            <w:shd w:val="clear" w:color="auto" w:fill="FFFFFF"/>
            <w:vAlign w:val="center"/>
          </w:tcPr>
          <w:p>
            <w:pPr>
              <w:widowControl/>
              <w:adjustRightInd w:val="0"/>
              <w:spacing w:line="300" w:lineRule="auto"/>
              <w:jc w:val="center"/>
              <w:rPr>
                <w:rFonts w:ascii="宋体" w:hAnsi="宋体" w:cs="宋体" w:eastAsiaTheme="minorEastAsia"/>
                <w:sz w:val="22"/>
              </w:rPr>
            </w:pPr>
            <w:r>
              <w:rPr>
                <w:rFonts w:hint="eastAsia" w:ascii="宋体" w:hAnsi="宋体" w:cs="宋体"/>
                <w:sz w:val="22"/>
              </w:rPr>
              <w:t>报价评价原则</w:t>
            </w:r>
          </w:p>
        </w:tc>
        <w:tc>
          <w:tcPr>
            <w:tcW w:w="6237" w:type="dxa"/>
            <w:tcBorders>
              <w:top w:val="single" w:color="auto" w:sz="4" w:space="0"/>
              <w:left w:val="nil"/>
              <w:bottom w:val="nil"/>
              <w:right w:val="single" w:color="auto" w:sz="4"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最低价法</w:t>
            </w:r>
          </w:p>
        </w:tc>
      </w:tr>
      <w:tr>
        <w:tblPrEx>
          <w:tblLayout w:type="fixed"/>
          <w:tblCellMar>
            <w:top w:w="0" w:type="dxa"/>
            <w:left w:w="108" w:type="dxa"/>
            <w:bottom w:w="0" w:type="dxa"/>
            <w:right w:w="108" w:type="dxa"/>
          </w:tblCellMar>
        </w:tblPrEx>
        <w:trPr>
          <w:trHeight w:val="132" w:hRule="atLeast"/>
        </w:trPr>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cs="宋体"/>
                <w:kern w:val="0"/>
                <w:sz w:val="22"/>
              </w:rPr>
            </w:pPr>
            <w:r>
              <w:rPr>
                <w:rFonts w:cs="宋体"/>
                <w:kern w:val="0"/>
                <w:sz w:val="22"/>
              </w:rPr>
              <w:t>11</w:t>
            </w:r>
          </w:p>
        </w:tc>
        <w:tc>
          <w:tcPr>
            <w:tcW w:w="2130" w:type="dxa"/>
            <w:tcBorders>
              <w:top w:val="single" w:color="auto" w:sz="4" w:space="0"/>
              <w:left w:val="nil"/>
              <w:bottom w:val="single" w:color="auto" w:sz="4" w:space="0"/>
              <w:right w:val="nil"/>
            </w:tcBorders>
            <w:shd w:val="clear" w:color="auto" w:fill="FFFFFF"/>
            <w:vAlign w:val="center"/>
          </w:tcPr>
          <w:p>
            <w:pPr>
              <w:widowControl/>
              <w:jc w:val="center"/>
              <w:rPr>
                <w:rFonts w:ascii="宋体" w:hAnsi="宋体" w:cs="宋体"/>
                <w:kern w:val="0"/>
                <w:sz w:val="22"/>
              </w:rPr>
            </w:pPr>
            <w:r>
              <w:rPr>
                <w:rFonts w:hint="eastAsia" w:ascii="宋体" w:hAnsi="宋体" w:cs="宋体"/>
                <w:kern w:val="0"/>
                <w:sz w:val="22"/>
              </w:rPr>
              <w:t>合同主要条款</w:t>
            </w:r>
          </w:p>
        </w:tc>
        <w:tc>
          <w:tcPr>
            <w:tcW w:w="62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left"/>
              <w:rPr>
                <w:rFonts w:ascii="宋体" w:hAnsi="宋体" w:cs="宋体"/>
                <w:kern w:val="0"/>
                <w:sz w:val="22"/>
              </w:rPr>
            </w:pPr>
            <w:r>
              <w:rPr>
                <w:rFonts w:hint="eastAsia" w:ascii="宋体" w:hAnsi="宋体" w:cs="宋体"/>
                <w:kern w:val="0"/>
                <w:sz w:val="22"/>
              </w:rPr>
              <w:t>(1) 合同范围；</w:t>
            </w:r>
          </w:p>
          <w:p>
            <w:pPr>
              <w:widowControl/>
              <w:jc w:val="left"/>
              <w:rPr>
                <w:rFonts w:ascii="宋体" w:hAnsi="宋体" w:cs="宋体"/>
                <w:kern w:val="0"/>
                <w:sz w:val="22"/>
              </w:rPr>
            </w:pPr>
            <w:r>
              <w:rPr>
                <w:rFonts w:hint="eastAsia" w:ascii="宋体" w:hAnsi="宋体" w:cs="宋体"/>
                <w:kern w:val="0"/>
                <w:sz w:val="22"/>
              </w:rPr>
              <w:t>(2) 合同价格；</w:t>
            </w:r>
          </w:p>
          <w:p>
            <w:pPr>
              <w:widowControl/>
              <w:jc w:val="left"/>
              <w:rPr>
                <w:rFonts w:ascii="宋体" w:hAnsi="宋体" w:cs="宋体"/>
                <w:kern w:val="0"/>
                <w:sz w:val="22"/>
              </w:rPr>
            </w:pPr>
            <w:r>
              <w:rPr>
                <w:rFonts w:hint="eastAsia" w:ascii="宋体" w:hAnsi="宋体" w:cs="宋体"/>
                <w:kern w:val="0"/>
                <w:sz w:val="22"/>
              </w:rPr>
              <w:t>(3) 合同后付款；</w:t>
            </w:r>
          </w:p>
          <w:p>
            <w:pPr>
              <w:widowControl/>
              <w:jc w:val="left"/>
              <w:rPr>
                <w:rFonts w:ascii="宋体" w:hAnsi="宋体" w:cs="宋体"/>
                <w:kern w:val="0"/>
                <w:sz w:val="22"/>
              </w:rPr>
            </w:pPr>
            <w:r>
              <w:rPr>
                <w:rFonts w:hint="eastAsia" w:ascii="宋体" w:hAnsi="宋体" w:cs="宋体"/>
                <w:kern w:val="0"/>
                <w:sz w:val="22"/>
              </w:rPr>
              <w:t>(4) 服务期；</w:t>
            </w:r>
          </w:p>
          <w:p>
            <w:pPr>
              <w:widowControl/>
              <w:jc w:val="left"/>
              <w:rPr>
                <w:rFonts w:ascii="宋体" w:hAnsi="宋体" w:cs="宋体"/>
                <w:kern w:val="0"/>
                <w:sz w:val="22"/>
              </w:rPr>
            </w:pPr>
            <w:r>
              <w:rPr>
                <w:rFonts w:hint="eastAsia" w:ascii="宋体" w:hAnsi="宋体" w:cs="宋体"/>
                <w:kern w:val="0"/>
                <w:sz w:val="22"/>
              </w:rPr>
              <w:t>(5) 其他内容</w:t>
            </w:r>
          </w:p>
        </w:tc>
      </w:tr>
    </w:tbl>
    <w:p>
      <w:pPr>
        <w:spacing w:line="360" w:lineRule="auto"/>
        <w:rPr>
          <w:rFonts w:ascii="黑体" w:hAnsi="黑体" w:eastAsia="黑体"/>
          <w:sz w:val="40"/>
          <w:szCs w:val="32"/>
        </w:rPr>
      </w:pPr>
    </w:p>
    <w:p>
      <w:pPr>
        <w:spacing w:line="360" w:lineRule="auto"/>
        <w:jc w:val="center"/>
        <w:rPr>
          <w:rFonts w:ascii="黑体" w:hAnsi="黑体" w:eastAsia="黑体"/>
          <w:sz w:val="40"/>
          <w:szCs w:val="32"/>
        </w:rPr>
      </w:pPr>
      <w:r>
        <w:rPr>
          <w:rFonts w:hint="eastAsia" w:ascii="黑体" w:hAnsi="黑体" w:eastAsia="黑体"/>
          <w:sz w:val="40"/>
          <w:szCs w:val="32"/>
        </w:rPr>
        <w:t>第二章 采购项目概况</w:t>
      </w:r>
    </w:p>
    <w:p>
      <w:pPr>
        <w:topLinePunct/>
        <w:spacing w:line="520" w:lineRule="exact"/>
        <w:rPr>
          <w:rFonts w:ascii="宋体"/>
          <w:b/>
          <w:bCs/>
          <w:sz w:val="24"/>
        </w:rPr>
      </w:pPr>
      <w:r>
        <w:rPr>
          <w:rFonts w:hint="eastAsia" w:ascii="宋体"/>
          <w:b/>
          <w:bCs/>
          <w:sz w:val="24"/>
        </w:rPr>
        <w:t>一、项目概况：</w:t>
      </w:r>
    </w:p>
    <w:p>
      <w:pPr>
        <w:pStyle w:val="9"/>
        <w:widowControl w:val="0"/>
        <w:autoSpaceDE w:val="0"/>
        <w:spacing w:beforeAutospacing="0" w:afterAutospacing="0" w:line="360" w:lineRule="auto"/>
        <w:ind w:firstLine="480" w:firstLineChars="200"/>
        <w:jc w:val="both"/>
        <w:rPr>
          <w:rFonts w:cs="宋体"/>
          <w:kern w:val="2"/>
        </w:rPr>
      </w:pPr>
      <w:r>
        <w:rPr>
          <w:rFonts w:hint="eastAsia"/>
        </w:rPr>
        <w:t>本项目为</w:t>
      </w:r>
      <w:r>
        <w:rPr>
          <w:rFonts w:hint="eastAsia" w:asciiTheme="majorEastAsia" w:hAnsiTheme="majorEastAsia" w:eastAsiaTheme="majorEastAsia"/>
        </w:rPr>
        <w:t>包头第二热</w:t>
      </w:r>
      <w:r>
        <w:rPr>
          <w:rFonts w:hint="eastAsia"/>
        </w:rPr>
        <w:t>电厂3</w:t>
      </w:r>
      <w:r>
        <w:rPr>
          <w:rFonts w:hint="eastAsia" w:cs="宋体" w:eastAsiaTheme="majorEastAsia"/>
          <w:kern w:val="2"/>
        </w:rPr>
        <w:t>00MW机组锅炉减温水阀门阀杆、阀芯零部件加工，材料为2Cr13</w:t>
      </w:r>
      <w:r>
        <w:rPr>
          <w:rFonts w:hint="eastAsia" w:cs="宋体"/>
          <w:kern w:val="2"/>
        </w:rPr>
        <w:t>。</w:t>
      </w:r>
    </w:p>
    <w:p>
      <w:pPr>
        <w:spacing w:line="360" w:lineRule="auto"/>
        <w:rPr>
          <w:rFonts w:asciiTheme="majorEastAsia" w:hAnsiTheme="majorEastAsia" w:eastAsiaTheme="majorEastAsia"/>
          <w:b/>
          <w:sz w:val="24"/>
        </w:rPr>
      </w:pPr>
      <w:r>
        <w:rPr>
          <w:rFonts w:hint="eastAsia" w:asciiTheme="majorEastAsia" w:hAnsiTheme="majorEastAsia" w:eastAsiaTheme="majorEastAsia"/>
          <w:b/>
          <w:sz w:val="24"/>
        </w:rPr>
        <w:t>采购内容：</w:t>
      </w:r>
    </w:p>
    <w:p>
      <w:pPr>
        <w:autoSpaceDE w:val="0"/>
        <w:autoSpaceDN w:val="0"/>
        <w:adjustRightInd w:val="0"/>
        <w:spacing w:line="360" w:lineRule="auto"/>
        <w:ind w:right="6" w:firstLine="723" w:firstLineChars="300"/>
        <w:rPr>
          <w:rFonts w:ascii="宋体" w:hAnsi="宋体"/>
          <w:b/>
          <w:bCs/>
          <w:sz w:val="24"/>
        </w:rPr>
      </w:pPr>
      <w:r>
        <w:rPr>
          <w:rFonts w:hint="eastAsia" w:ascii="宋体" w:hAnsi="宋体"/>
          <w:b/>
          <w:bCs/>
          <w:sz w:val="24"/>
        </w:rPr>
        <w:t>1、减温水阀门下阀杆</w:t>
      </w:r>
      <w:r>
        <w:rPr>
          <w:rFonts w:hint="eastAsia" w:ascii="宋体" w:hAnsi="宋体"/>
          <w:b/>
          <w:bCs/>
          <w:sz w:val="24"/>
          <w:lang w:eastAsia="zh-CN"/>
        </w:rPr>
        <w:t>加工</w:t>
      </w:r>
      <w:r>
        <w:rPr>
          <w:rFonts w:hint="eastAsia" w:ascii="宋体" w:hAnsi="宋体"/>
          <w:b/>
          <w:bCs/>
          <w:sz w:val="24"/>
        </w:rPr>
        <w:t xml:space="preserve">     </w:t>
      </w:r>
      <w:r>
        <w:rPr>
          <w:rFonts w:hint="eastAsia" w:ascii="宋体" w:hAnsi="宋体"/>
          <w:b/>
          <w:bCs/>
          <w:sz w:val="24"/>
          <w:lang w:val="en-US" w:eastAsia="zh-CN"/>
        </w:rPr>
        <w:t>6</w:t>
      </w:r>
      <w:r>
        <w:rPr>
          <w:rFonts w:hint="eastAsia" w:ascii="宋体" w:hAnsi="宋体"/>
          <w:b/>
          <w:bCs/>
          <w:sz w:val="24"/>
        </w:rPr>
        <w:t>套</w:t>
      </w:r>
    </w:p>
    <w:p>
      <w:pPr>
        <w:autoSpaceDE w:val="0"/>
        <w:autoSpaceDN w:val="0"/>
        <w:adjustRightInd w:val="0"/>
        <w:spacing w:line="360" w:lineRule="auto"/>
        <w:ind w:right="6" w:firstLine="723" w:firstLineChars="300"/>
        <w:rPr>
          <w:rFonts w:ascii="宋体" w:hAnsi="宋体" w:cs="宋体"/>
          <w:b/>
          <w:bCs/>
          <w:sz w:val="24"/>
          <w:szCs w:val="24"/>
        </w:rPr>
      </w:pPr>
      <w:r>
        <w:rPr>
          <w:rFonts w:hint="eastAsia" w:ascii="宋体" w:hAnsi="宋体"/>
          <w:b/>
          <w:bCs/>
          <w:sz w:val="24"/>
        </w:rPr>
        <w:t>2、减温水阀门阀芯</w:t>
      </w:r>
      <w:r>
        <w:rPr>
          <w:rFonts w:hint="eastAsia" w:ascii="宋体" w:hAnsi="宋体"/>
          <w:b/>
          <w:bCs/>
          <w:sz w:val="24"/>
          <w:lang w:eastAsia="zh-CN"/>
        </w:rPr>
        <w:t>加工</w:t>
      </w:r>
      <w:r>
        <w:rPr>
          <w:rFonts w:hint="eastAsia" w:ascii="宋体" w:hAnsi="宋体"/>
          <w:b/>
          <w:bCs/>
          <w:sz w:val="24"/>
        </w:rPr>
        <w:t xml:space="preserve">      </w:t>
      </w:r>
      <w:r>
        <w:rPr>
          <w:rFonts w:hint="eastAsia" w:ascii="宋体" w:hAnsi="宋体"/>
          <w:b/>
          <w:bCs/>
          <w:sz w:val="24"/>
          <w:lang w:val="en-US" w:eastAsia="zh-CN"/>
        </w:rPr>
        <w:t>6</w:t>
      </w:r>
      <w:r>
        <w:rPr>
          <w:rFonts w:hint="eastAsia" w:ascii="宋体" w:hAnsi="宋体"/>
          <w:b/>
          <w:bCs/>
          <w:sz w:val="24"/>
        </w:rPr>
        <w:t xml:space="preserve">套  </w:t>
      </w:r>
    </w:p>
    <w:p>
      <w:pPr>
        <w:spacing w:line="360" w:lineRule="auto"/>
        <w:rPr>
          <w:rFonts w:ascii="宋体" w:hAnsi="宋体" w:cs="宋体" w:eastAsiaTheme="majorEastAsia"/>
          <w:sz w:val="24"/>
          <w:szCs w:val="24"/>
        </w:rPr>
      </w:pPr>
      <w:r>
        <w:rPr>
          <w:rFonts w:hint="eastAsia" w:ascii="宋体"/>
          <w:b/>
          <w:bCs/>
          <w:sz w:val="24"/>
        </w:rPr>
        <w:t>二、工期</w:t>
      </w:r>
      <w:r>
        <w:rPr>
          <w:rFonts w:hint="eastAsia" w:ascii="宋体"/>
          <w:sz w:val="24"/>
        </w:rPr>
        <w:t>：</w:t>
      </w:r>
      <w:r>
        <w:rPr>
          <w:rFonts w:hint="eastAsia" w:ascii="宋体" w:hAnsi="宋体" w:cs="宋体" w:eastAsiaTheme="majorEastAsia"/>
          <w:sz w:val="24"/>
          <w:szCs w:val="24"/>
        </w:rPr>
        <w:t>签订合同、办理开工手续后30天内完成</w:t>
      </w:r>
    </w:p>
    <w:p>
      <w:pPr>
        <w:pStyle w:val="14"/>
        <w:spacing w:line="360" w:lineRule="auto"/>
        <w:jc w:val="left"/>
        <w:rPr>
          <w:rFonts w:ascii="宋体" w:hAnsi="宋体" w:cs="宋体" w:eastAsiaTheme="majorEastAsia"/>
          <w:sz w:val="24"/>
        </w:rPr>
      </w:pPr>
      <w:r>
        <w:rPr>
          <w:rFonts w:hint="eastAsia" w:ascii="宋体" w:hAnsi="宋体" w:cs="宋体" w:eastAsiaTheme="majorEastAsia"/>
          <w:b/>
          <w:sz w:val="24"/>
        </w:rPr>
        <w:t>三、施工</w:t>
      </w:r>
      <w:r>
        <w:rPr>
          <w:rFonts w:ascii="宋体" w:hAnsi="宋体" w:cs="宋体" w:eastAsiaTheme="majorEastAsia"/>
          <w:b/>
          <w:sz w:val="24"/>
        </w:rPr>
        <w:t>地点</w:t>
      </w:r>
      <w:r>
        <w:rPr>
          <w:rFonts w:hint="eastAsia" w:ascii="宋体" w:hAnsi="宋体" w:cs="宋体" w:eastAsiaTheme="majorEastAsia"/>
          <w:b/>
          <w:sz w:val="24"/>
        </w:rPr>
        <w:t>：</w:t>
      </w:r>
      <w:r>
        <w:rPr>
          <w:rFonts w:ascii="宋体" w:hAnsi="宋体" w:cs="宋体" w:eastAsiaTheme="majorEastAsia"/>
          <w:sz w:val="24"/>
        </w:rPr>
        <w:t>包头第二热电厂</w:t>
      </w:r>
    </w:p>
    <w:p>
      <w:pPr>
        <w:pStyle w:val="14"/>
        <w:spacing w:line="360" w:lineRule="auto"/>
        <w:rPr>
          <w:b/>
          <w:sz w:val="32"/>
          <w:szCs w:val="32"/>
        </w:rPr>
      </w:pPr>
    </w:p>
    <w:p>
      <w:pPr>
        <w:pStyle w:val="14"/>
        <w:spacing w:line="360" w:lineRule="auto"/>
        <w:rPr>
          <w:b/>
          <w:sz w:val="32"/>
          <w:szCs w:val="32"/>
        </w:rPr>
      </w:pPr>
    </w:p>
    <w:p>
      <w:pPr>
        <w:pStyle w:val="14"/>
        <w:spacing w:line="360" w:lineRule="auto"/>
        <w:rPr>
          <w:b/>
          <w:sz w:val="32"/>
          <w:szCs w:val="32"/>
        </w:rPr>
      </w:pPr>
    </w:p>
    <w:p>
      <w:pPr>
        <w:pStyle w:val="14"/>
        <w:spacing w:line="360" w:lineRule="auto"/>
        <w:rPr>
          <w:b/>
          <w:sz w:val="32"/>
          <w:szCs w:val="32"/>
        </w:rPr>
      </w:pPr>
    </w:p>
    <w:p>
      <w:pPr>
        <w:pStyle w:val="14"/>
        <w:spacing w:line="360" w:lineRule="auto"/>
        <w:rPr>
          <w:b/>
          <w:sz w:val="32"/>
          <w:szCs w:val="32"/>
        </w:rPr>
      </w:pPr>
    </w:p>
    <w:p>
      <w:pPr>
        <w:pStyle w:val="14"/>
        <w:spacing w:line="360" w:lineRule="auto"/>
        <w:rPr>
          <w:b/>
          <w:sz w:val="32"/>
          <w:szCs w:val="32"/>
        </w:rPr>
      </w:pPr>
    </w:p>
    <w:p>
      <w:pPr>
        <w:pStyle w:val="14"/>
        <w:spacing w:line="360" w:lineRule="auto"/>
        <w:jc w:val="center"/>
        <w:rPr>
          <w:rFonts w:ascii="黑体" w:hAnsi="黑体" w:eastAsia="黑体"/>
          <w:sz w:val="40"/>
          <w:szCs w:val="32"/>
        </w:rPr>
      </w:pPr>
    </w:p>
    <w:p>
      <w:pPr>
        <w:pStyle w:val="14"/>
        <w:spacing w:line="360" w:lineRule="auto"/>
        <w:jc w:val="center"/>
        <w:rPr>
          <w:rFonts w:ascii="黑体" w:hAnsi="黑体" w:eastAsia="黑体"/>
          <w:sz w:val="40"/>
          <w:szCs w:val="32"/>
        </w:rPr>
      </w:pPr>
    </w:p>
    <w:p>
      <w:pPr>
        <w:pStyle w:val="14"/>
        <w:spacing w:line="360" w:lineRule="auto"/>
        <w:jc w:val="center"/>
        <w:rPr>
          <w:rFonts w:ascii="黑体" w:hAnsi="黑体" w:eastAsia="黑体"/>
          <w:sz w:val="40"/>
          <w:szCs w:val="32"/>
        </w:rPr>
      </w:pPr>
    </w:p>
    <w:p>
      <w:pPr>
        <w:pStyle w:val="14"/>
        <w:spacing w:line="360" w:lineRule="auto"/>
        <w:jc w:val="center"/>
        <w:rPr>
          <w:rFonts w:ascii="黑体" w:hAnsi="黑体" w:eastAsia="黑体"/>
          <w:sz w:val="40"/>
          <w:szCs w:val="32"/>
        </w:rPr>
      </w:pPr>
    </w:p>
    <w:p>
      <w:pPr>
        <w:pStyle w:val="14"/>
        <w:spacing w:line="360" w:lineRule="auto"/>
        <w:jc w:val="center"/>
        <w:rPr>
          <w:rFonts w:ascii="黑体" w:hAnsi="黑体" w:eastAsia="黑体"/>
          <w:sz w:val="40"/>
          <w:szCs w:val="32"/>
        </w:rPr>
      </w:pPr>
    </w:p>
    <w:p>
      <w:pPr>
        <w:pStyle w:val="14"/>
        <w:spacing w:line="360" w:lineRule="auto"/>
        <w:jc w:val="center"/>
        <w:rPr>
          <w:rFonts w:ascii="黑体" w:hAnsi="黑体" w:eastAsia="黑体"/>
          <w:sz w:val="40"/>
          <w:szCs w:val="32"/>
        </w:rPr>
      </w:pPr>
    </w:p>
    <w:p>
      <w:pPr>
        <w:pStyle w:val="14"/>
        <w:spacing w:line="360" w:lineRule="auto"/>
        <w:jc w:val="center"/>
        <w:rPr>
          <w:rFonts w:ascii="黑体" w:hAnsi="黑体" w:eastAsia="黑体"/>
          <w:sz w:val="40"/>
          <w:szCs w:val="32"/>
        </w:rPr>
      </w:pPr>
    </w:p>
    <w:p>
      <w:pPr>
        <w:pStyle w:val="14"/>
        <w:spacing w:line="360" w:lineRule="auto"/>
        <w:rPr>
          <w:rFonts w:ascii="黑体" w:hAnsi="黑体" w:eastAsia="黑体"/>
          <w:sz w:val="40"/>
          <w:szCs w:val="32"/>
        </w:rPr>
      </w:pPr>
    </w:p>
    <w:p>
      <w:pPr>
        <w:pStyle w:val="14"/>
        <w:spacing w:line="360" w:lineRule="auto"/>
        <w:jc w:val="center"/>
        <w:rPr>
          <w:rFonts w:ascii="黑体" w:hAnsi="黑体" w:eastAsia="黑体"/>
          <w:sz w:val="40"/>
          <w:szCs w:val="32"/>
        </w:rPr>
      </w:pPr>
      <w:r>
        <w:rPr>
          <w:rFonts w:hint="eastAsia" w:ascii="黑体" w:hAnsi="黑体" w:eastAsia="黑体"/>
          <w:sz w:val="40"/>
          <w:szCs w:val="32"/>
        </w:rPr>
        <w:t>第三章 供应商资格要求</w:t>
      </w:r>
    </w:p>
    <w:p>
      <w:pPr>
        <w:pStyle w:val="14"/>
        <w:spacing w:line="360" w:lineRule="auto"/>
        <w:rPr>
          <w:rFonts w:ascii="黑体" w:hAnsi="黑体" w:eastAsia="黑体"/>
          <w:b/>
          <w:sz w:val="28"/>
        </w:rPr>
      </w:pPr>
      <w:r>
        <w:rPr>
          <w:rFonts w:hint="eastAsia" w:ascii="黑体" w:hAnsi="黑体" w:eastAsia="黑体"/>
          <w:b/>
          <w:sz w:val="28"/>
        </w:rPr>
        <w:t>一、通用条款</w:t>
      </w:r>
    </w:p>
    <w:p>
      <w:pPr>
        <w:spacing w:line="360" w:lineRule="auto"/>
        <w:rPr>
          <w:rFonts w:ascii="宋体" w:hAnsi="宋体"/>
          <w:sz w:val="24"/>
          <w:szCs w:val="24"/>
        </w:rPr>
      </w:pPr>
      <w:r>
        <w:rPr>
          <w:rFonts w:hint="eastAsia" w:ascii="宋体" w:hAnsi="宋体"/>
          <w:sz w:val="24"/>
          <w:szCs w:val="24"/>
        </w:rPr>
        <w:t>1.报价人必须具有中华人民共和国独立企业法人资格；</w:t>
      </w:r>
    </w:p>
    <w:p>
      <w:pPr>
        <w:spacing w:line="360" w:lineRule="auto"/>
        <w:rPr>
          <w:rFonts w:ascii="宋体" w:hAnsi="宋体"/>
          <w:sz w:val="24"/>
          <w:szCs w:val="24"/>
        </w:rPr>
      </w:pPr>
      <w:r>
        <w:rPr>
          <w:rFonts w:hint="eastAsia" w:ascii="宋体" w:hAnsi="宋体"/>
          <w:sz w:val="24"/>
          <w:szCs w:val="24"/>
        </w:rPr>
        <w:t>2.具有良好的银行资信和商业信誉，未处于财产被接管、冻结、破产状态，未处于有关禁止经营的行政处罚期间；</w:t>
      </w:r>
    </w:p>
    <w:p>
      <w:pPr>
        <w:spacing w:line="360" w:lineRule="auto"/>
        <w:rPr>
          <w:rFonts w:ascii="宋体" w:hAnsi="宋体"/>
          <w:sz w:val="24"/>
          <w:szCs w:val="24"/>
        </w:rPr>
      </w:pPr>
      <w:r>
        <w:rPr>
          <w:rFonts w:hint="eastAsia" w:ascii="宋体" w:hAnsi="宋体"/>
          <w:sz w:val="24"/>
          <w:szCs w:val="24"/>
        </w:rPr>
        <w:t>3.单位负责人为同一人或者存在控股、管理关系的不同单位，不得同时参加此次报价；</w:t>
      </w:r>
    </w:p>
    <w:p>
      <w:pPr>
        <w:spacing w:line="360" w:lineRule="auto"/>
        <w:rPr>
          <w:rFonts w:ascii="宋体" w:hAnsi="宋体"/>
          <w:sz w:val="24"/>
          <w:szCs w:val="24"/>
        </w:rPr>
      </w:pPr>
      <w:r>
        <w:rPr>
          <w:rFonts w:hint="eastAsia" w:ascii="宋体" w:hAnsi="宋体"/>
          <w:sz w:val="24"/>
          <w:szCs w:val="24"/>
        </w:rPr>
        <w:t>4.不得处于人民法院“失信被执行人”名单和工商行政管理机关“严重违法失信企业”名单；</w:t>
      </w:r>
    </w:p>
    <w:p>
      <w:pPr>
        <w:spacing w:line="360" w:lineRule="auto"/>
        <w:rPr>
          <w:rFonts w:ascii="宋体" w:hAnsi="宋体"/>
          <w:sz w:val="24"/>
          <w:szCs w:val="24"/>
        </w:rPr>
      </w:pPr>
      <w:r>
        <w:rPr>
          <w:rFonts w:hint="eastAsia" w:ascii="宋体" w:hAnsi="宋体"/>
          <w:sz w:val="24"/>
          <w:szCs w:val="24"/>
        </w:rPr>
        <w:t>5.</w:t>
      </w:r>
      <w:r>
        <w:rPr>
          <w:rFonts w:hint="eastAsia" w:ascii="宋体" w:hAnsi="宋体" w:cs="Arial"/>
          <w:sz w:val="24"/>
          <w:szCs w:val="24"/>
        </w:rPr>
        <w:t>报价方保障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r>
        <w:rPr>
          <w:rFonts w:hint="eastAsia" w:ascii="宋体" w:hAnsi="宋体"/>
          <w:sz w:val="24"/>
          <w:szCs w:val="24"/>
        </w:rPr>
        <w:t>；</w:t>
      </w:r>
    </w:p>
    <w:p>
      <w:pPr>
        <w:pStyle w:val="14"/>
        <w:spacing w:line="360" w:lineRule="auto"/>
        <w:rPr>
          <w:rFonts w:asciiTheme="minorEastAsia" w:hAnsiTheme="minorEastAsia"/>
          <w:sz w:val="24"/>
        </w:rPr>
      </w:pPr>
      <w:r>
        <w:rPr>
          <w:rFonts w:hint="eastAsia" w:ascii="宋体" w:hAnsi="宋体"/>
          <w:sz w:val="24"/>
        </w:rPr>
        <w:t>6.不存在上传数据或响应文件的互联网协议地址（IP地址）信息检查一致的情况，否则将视为串通投标并否决其投标；</w:t>
      </w:r>
    </w:p>
    <w:p>
      <w:pPr>
        <w:pStyle w:val="14"/>
        <w:spacing w:line="360" w:lineRule="auto"/>
        <w:rPr>
          <w:rFonts w:cs="黑体" w:asciiTheme="majorEastAsia" w:hAnsiTheme="majorEastAsia"/>
          <w:bCs/>
          <w:color w:val="000000" w:themeColor="text1"/>
          <w:sz w:val="24"/>
        </w:rPr>
      </w:pPr>
      <w:r>
        <w:rPr>
          <w:rFonts w:hint="eastAsia" w:ascii="黑体" w:hAnsi="黑体" w:eastAsia="黑体"/>
          <w:b/>
          <w:sz w:val="28"/>
        </w:rPr>
        <w:t>二、专用条款</w:t>
      </w:r>
    </w:p>
    <w:p>
      <w:pPr>
        <w:pStyle w:val="14"/>
        <w:spacing w:line="360" w:lineRule="auto"/>
        <w:rPr>
          <w:rFonts w:ascii="宋体" w:hAnsi="宋体"/>
          <w:sz w:val="24"/>
        </w:rPr>
        <w:sectPr>
          <w:pgSz w:w="11906" w:h="16838"/>
          <w:pgMar w:top="1440" w:right="1800" w:bottom="1440" w:left="1800" w:header="851" w:footer="992" w:gutter="0"/>
          <w:cols w:space="720" w:num="1"/>
          <w:docGrid w:type="lines" w:linePitch="312" w:charSpace="0"/>
        </w:sectPr>
      </w:pPr>
      <w:r>
        <w:rPr>
          <w:rFonts w:hint="eastAsia" w:ascii="宋体" w:hAnsi="宋体"/>
          <w:sz w:val="24"/>
        </w:rPr>
        <w:t>无</w:t>
      </w:r>
    </w:p>
    <w:p>
      <w:pPr>
        <w:pStyle w:val="9"/>
        <w:spacing w:before="100" w:after="100"/>
        <w:ind w:firstLine="5400" w:firstLineChars="1350"/>
        <w:jc w:val="both"/>
        <w:rPr>
          <w:rFonts w:ascii="黑体" w:eastAsia="黑体" w:cs="黑体"/>
          <w:kern w:val="2"/>
          <w:sz w:val="40"/>
          <w:szCs w:val="40"/>
        </w:rPr>
      </w:pPr>
      <w:r>
        <w:rPr>
          <w:rFonts w:hint="eastAsia" w:ascii="黑体" w:eastAsia="黑体" w:cs="黑体"/>
          <w:kern w:val="2"/>
          <w:sz w:val="40"/>
          <w:szCs w:val="40"/>
        </w:rPr>
        <w:t>第四章技术规范要求</w:t>
      </w:r>
    </w:p>
    <w:p>
      <w:pPr>
        <w:pStyle w:val="9"/>
        <w:spacing w:before="100" w:after="100"/>
        <w:jc w:val="both"/>
        <w:rPr>
          <w:rFonts w:ascii="黑体" w:eastAsia="黑体" w:cs="黑体"/>
          <w:kern w:val="2"/>
          <w:sz w:val="36"/>
          <w:szCs w:val="40"/>
        </w:rPr>
      </w:pPr>
      <w:r>
        <w:rPr>
          <w:rFonts w:hint="eastAsia" w:ascii="黑体" w:eastAsia="黑体"/>
          <w:b/>
          <w:sz w:val="28"/>
        </w:rPr>
        <w:t xml:space="preserve">一、锅炉减温水阀门阀杆、阀芯零件加工项目服务需求清单一览表单位：                    </w:t>
      </w:r>
      <w:r>
        <w:rPr>
          <w:rFonts w:hint="eastAsia" w:ascii="黑体" w:eastAsia="黑体"/>
          <w:b/>
        </w:rPr>
        <w:t xml:space="preserve"> </w:t>
      </w:r>
      <w:r>
        <w:rPr>
          <w:rFonts w:hint="eastAsia" w:ascii="黑体" w:eastAsia="黑体"/>
          <w:b/>
          <w:lang w:val="en-US" w:eastAsia="zh-CN"/>
        </w:rPr>
        <w:t xml:space="preserve">    </w:t>
      </w:r>
      <w:r>
        <w:rPr>
          <w:rFonts w:hint="eastAsia" w:ascii="黑体" w:eastAsia="黑体"/>
        </w:rPr>
        <w:t>单位：元</w:t>
      </w:r>
    </w:p>
    <w:tbl>
      <w:tblPr>
        <w:tblStyle w:val="13"/>
        <w:tblW w:w="14849" w:type="dxa"/>
        <w:tblInd w:w="-4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884"/>
        <w:gridCol w:w="1430"/>
        <w:gridCol w:w="1296"/>
        <w:gridCol w:w="4309"/>
        <w:gridCol w:w="636"/>
        <w:gridCol w:w="559"/>
        <w:gridCol w:w="1005"/>
        <w:gridCol w:w="978"/>
        <w:gridCol w:w="979"/>
        <w:gridCol w:w="890"/>
        <w:gridCol w:w="1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58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eastAsiaTheme="minorEastAsia"/>
                <w:kern w:val="2"/>
              </w:rPr>
            </w:pPr>
            <w:r>
              <w:rPr>
                <w:rFonts w:hint="eastAsia" w:eastAsiaTheme="minorEastAsia"/>
                <w:kern w:val="2"/>
              </w:rPr>
              <w:t>序号</w:t>
            </w:r>
          </w:p>
        </w:tc>
        <w:tc>
          <w:tcPr>
            <w:tcW w:w="884"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eastAsiaTheme="minorEastAsia"/>
                <w:kern w:val="2"/>
              </w:rPr>
            </w:pPr>
            <w:r>
              <w:rPr>
                <w:rFonts w:hint="eastAsia" w:eastAsiaTheme="minorEastAsia"/>
                <w:kern w:val="2"/>
              </w:rPr>
              <w:t>工程服务编码</w:t>
            </w:r>
          </w:p>
        </w:tc>
        <w:tc>
          <w:tcPr>
            <w:tcW w:w="1430"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eastAsiaTheme="minorEastAsia"/>
                <w:kern w:val="2"/>
              </w:rPr>
            </w:pPr>
            <w:r>
              <w:rPr>
                <w:rFonts w:hint="eastAsia" w:eastAsiaTheme="minorEastAsia"/>
                <w:kern w:val="2"/>
              </w:rPr>
              <w:t>项目分</w:t>
            </w:r>
          </w:p>
          <w:p>
            <w:pPr>
              <w:pStyle w:val="9"/>
              <w:widowControl w:val="0"/>
              <w:spacing w:beforeAutospacing="0" w:afterAutospacing="0" w:line="360" w:lineRule="auto"/>
              <w:jc w:val="center"/>
              <w:rPr>
                <w:rFonts w:eastAsiaTheme="minorEastAsia"/>
                <w:kern w:val="2"/>
              </w:rPr>
            </w:pPr>
            <w:r>
              <w:rPr>
                <w:rFonts w:hint="eastAsia" w:eastAsiaTheme="minorEastAsia"/>
                <w:kern w:val="2"/>
              </w:rPr>
              <w:t>项名称</w:t>
            </w:r>
          </w:p>
        </w:tc>
        <w:tc>
          <w:tcPr>
            <w:tcW w:w="1296"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hint="eastAsia" w:eastAsiaTheme="minorEastAsia"/>
                <w:kern w:val="2"/>
              </w:rPr>
            </w:pPr>
            <w:r>
              <w:rPr>
                <w:rFonts w:hint="eastAsia" w:eastAsiaTheme="minorEastAsia"/>
                <w:kern w:val="2"/>
              </w:rPr>
              <w:t>分项技</w:t>
            </w:r>
          </w:p>
          <w:p>
            <w:pPr>
              <w:pStyle w:val="9"/>
              <w:widowControl w:val="0"/>
              <w:spacing w:beforeAutospacing="0" w:afterAutospacing="0" w:line="360" w:lineRule="auto"/>
              <w:jc w:val="center"/>
              <w:rPr>
                <w:rFonts w:eastAsiaTheme="minorEastAsia"/>
                <w:kern w:val="2"/>
              </w:rPr>
            </w:pPr>
            <w:r>
              <w:rPr>
                <w:rFonts w:hint="eastAsia" w:eastAsiaTheme="minorEastAsia"/>
                <w:kern w:val="2"/>
              </w:rPr>
              <w:t>术标准</w:t>
            </w:r>
          </w:p>
        </w:tc>
        <w:tc>
          <w:tcPr>
            <w:tcW w:w="4309"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eastAsiaTheme="minorEastAsia"/>
                <w:kern w:val="2"/>
              </w:rPr>
            </w:pPr>
            <w:r>
              <w:rPr>
                <w:rFonts w:hint="eastAsia" w:eastAsiaTheme="minorEastAsia"/>
                <w:kern w:val="2"/>
              </w:rPr>
              <w:t>实施范围</w:t>
            </w:r>
          </w:p>
        </w:tc>
        <w:tc>
          <w:tcPr>
            <w:tcW w:w="636"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eastAsiaTheme="minorEastAsia"/>
                <w:kern w:val="2"/>
              </w:rPr>
            </w:pPr>
            <w:r>
              <w:rPr>
                <w:rFonts w:hint="eastAsia" w:eastAsiaTheme="minorEastAsia"/>
                <w:kern w:val="2"/>
              </w:rPr>
              <w:t>数量</w:t>
            </w:r>
          </w:p>
        </w:tc>
        <w:tc>
          <w:tcPr>
            <w:tcW w:w="559"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eastAsiaTheme="minorEastAsia"/>
                <w:kern w:val="2"/>
              </w:rPr>
            </w:pPr>
            <w:r>
              <w:rPr>
                <w:rFonts w:hint="eastAsia" w:eastAsiaTheme="minorEastAsia"/>
                <w:kern w:val="2"/>
              </w:rPr>
              <w:t>单位</w:t>
            </w:r>
          </w:p>
        </w:tc>
        <w:tc>
          <w:tcPr>
            <w:tcW w:w="1983" w:type="dxa"/>
            <w:gridSpan w:val="2"/>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eastAsiaTheme="minorEastAsia"/>
                <w:kern w:val="2"/>
              </w:rPr>
            </w:pPr>
            <w:r>
              <w:rPr>
                <w:rFonts w:hint="eastAsia" w:eastAsiaTheme="minorEastAsia"/>
                <w:kern w:val="2"/>
              </w:rPr>
              <w:t>报价方</w:t>
            </w:r>
          </w:p>
        </w:tc>
        <w:tc>
          <w:tcPr>
            <w:tcW w:w="979"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hint="eastAsia" w:eastAsiaTheme="minorEastAsia"/>
                <w:kern w:val="2"/>
                <w:sz w:val="22"/>
              </w:rPr>
            </w:pPr>
            <w:r>
              <w:rPr>
                <w:rFonts w:hint="eastAsia" w:eastAsiaTheme="minorEastAsia"/>
                <w:kern w:val="2"/>
                <w:sz w:val="22"/>
              </w:rPr>
              <w:t>工期服</w:t>
            </w:r>
          </w:p>
          <w:p>
            <w:pPr>
              <w:pStyle w:val="9"/>
              <w:widowControl w:val="0"/>
              <w:spacing w:beforeAutospacing="0" w:afterAutospacing="0" w:line="360" w:lineRule="auto"/>
              <w:jc w:val="center"/>
              <w:rPr>
                <w:rFonts w:eastAsiaTheme="minorEastAsia"/>
                <w:kern w:val="2"/>
              </w:rPr>
            </w:pPr>
            <w:r>
              <w:rPr>
                <w:rFonts w:hint="eastAsia" w:eastAsiaTheme="minorEastAsia"/>
                <w:kern w:val="2"/>
                <w:sz w:val="22"/>
              </w:rPr>
              <w:t>务期限</w:t>
            </w:r>
          </w:p>
        </w:tc>
        <w:tc>
          <w:tcPr>
            <w:tcW w:w="890"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hint="eastAsia" w:eastAsiaTheme="minorEastAsia"/>
                <w:kern w:val="2"/>
                <w:sz w:val="22"/>
              </w:rPr>
            </w:pPr>
            <w:r>
              <w:rPr>
                <w:rFonts w:hint="eastAsia" w:eastAsiaTheme="minorEastAsia"/>
                <w:kern w:val="2"/>
                <w:sz w:val="22"/>
              </w:rPr>
              <w:t>实施</w:t>
            </w:r>
          </w:p>
          <w:p>
            <w:pPr>
              <w:pStyle w:val="9"/>
              <w:widowControl w:val="0"/>
              <w:spacing w:beforeAutospacing="0" w:afterAutospacing="0" w:line="360" w:lineRule="auto"/>
              <w:jc w:val="center"/>
              <w:rPr>
                <w:rFonts w:eastAsiaTheme="minorEastAsia"/>
                <w:kern w:val="2"/>
              </w:rPr>
            </w:pPr>
            <w:r>
              <w:rPr>
                <w:rFonts w:hint="eastAsia" w:eastAsiaTheme="minorEastAsia"/>
                <w:kern w:val="2"/>
                <w:sz w:val="22"/>
              </w:rPr>
              <w:t>地点</w:t>
            </w:r>
          </w:p>
        </w:tc>
        <w:tc>
          <w:tcPr>
            <w:tcW w:w="1294" w:type="dxa"/>
            <w:vMerge w:val="restart"/>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line="360" w:lineRule="auto"/>
              <w:jc w:val="center"/>
              <w:rPr>
                <w:rFonts w:eastAsiaTheme="minorEastAsia"/>
                <w:kern w:val="2"/>
              </w:rPr>
            </w:pPr>
            <w:r>
              <w:rPr>
                <w:rFonts w:hint="eastAsia" w:eastAsiaTheme="minorEastAsia"/>
                <w:kern w:val="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58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884"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1430"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1296"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4309"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636"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559"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1005" w:type="dxa"/>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jc w:val="center"/>
              <w:rPr>
                <w:rFonts w:eastAsiaTheme="minorEastAsia"/>
                <w:b/>
                <w:kern w:val="2"/>
              </w:rPr>
            </w:pPr>
            <w:r>
              <w:rPr>
                <w:rFonts w:hint="eastAsia" w:eastAsiaTheme="minorEastAsia"/>
                <w:b/>
                <w:kern w:val="2"/>
              </w:rPr>
              <w:t>含税报单价</w:t>
            </w:r>
          </w:p>
        </w:tc>
        <w:tc>
          <w:tcPr>
            <w:tcW w:w="978" w:type="dxa"/>
            <w:tcBorders>
              <w:top w:val="single" w:color="auto" w:sz="4" w:space="0"/>
              <w:left w:val="nil"/>
              <w:bottom w:val="single" w:color="auto" w:sz="4" w:space="0"/>
              <w:right w:val="single" w:color="auto" w:sz="4" w:space="0"/>
            </w:tcBorders>
            <w:shd w:val="clear" w:color="auto" w:fill="auto"/>
            <w:vAlign w:val="center"/>
          </w:tcPr>
          <w:p>
            <w:pPr>
              <w:pStyle w:val="9"/>
              <w:widowControl w:val="0"/>
              <w:spacing w:beforeAutospacing="0" w:afterAutospacing="0"/>
              <w:jc w:val="center"/>
              <w:rPr>
                <w:rFonts w:eastAsiaTheme="minorEastAsia"/>
                <w:b/>
                <w:kern w:val="2"/>
              </w:rPr>
            </w:pPr>
            <w:r>
              <w:rPr>
                <w:rFonts w:hint="eastAsia" w:eastAsiaTheme="minorEastAsia"/>
                <w:b/>
                <w:kern w:val="2"/>
              </w:rPr>
              <w:t>含税报总价</w:t>
            </w:r>
          </w:p>
        </w:tc>
        <w:tc>
          <w:tcPr>
            <w:tcW w:w="979"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890"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c>
          <w:tcPr>
            <w:tcW w:w="1294"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cs="Times New Roman" w:eastAsia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8" w:hRule="atLeast"/>
        </w:trPr>
        <w:tc>
          <w:tcPr>
            <w:tcW w:w="589" w:type="dxa"/>
            <w:tcBorders>
              <w:top w:val="single" w:color="auto" w:sz="4" w:space="0"/>
              <w:left w:val="single" w:color="auto" w:sz="4" w:space="0"/>
              <w:right w:val="single" w:color="auto" w:sz="4" w:space="0"/>
            </w:tcBorders>
            <w:shd w:val="clear" w:color="auto" w:fill="auto"/>
            <w:vAlign w:val="center"/>
          </w:tcPr>
          <w:p>
            <w:pPr>
              <w:pStyle w:val="9"/>
              <w:widowControl w:val="0"/>
              <w:spacing w:beforeAutospacing="0" w:afterAutospacing="0"/>
              <w:jc w:val="center"/>
              <w:rPr>
                <w:rFonts w:asciiTheme="minorEastAsia" w:hAnsiTheme="minorEastAsia" w:eastAsiaTheme="minorEastAsia" w:cstheme="minorEastAsia"/>
                <w:kern w:val="2"/>
                <w:szCs w:val="18"/>
              </w:rPr>
            </w:pPr>
            <w:r>
              <w:rPr>
                <w:rFonts w:hint="eastAsia" w:asciiTheme="minorEastAsia" w:hAnsiTheme="minorEastAsia" w:eastAsiaTheme="minorEastAsia" w:cstheme="minorEastAsia"/>
                <w:kern w:val="2"/>
                <w:szCs w:val="28"/>
              </w:rPr>
              <w:t>1</w:t>
            </w:r>
          </w:p>
        </w:tc>
        <w:tc>
          <w:tcPr>
            <w:tcW w:w="884" w:type="dxa"/>
            <w:vMerge w:val="restart"/>
            <w:tcBorders>
              <w:top w:val="nil"/>
              <w:left w:val="nil"/>
              <w:right w:val="single" w:color="auto" w:sz="4" w:space="0"/>
            </w:tcBorders>
            <w:shd w:val="clear" w:color="auto" w:fill="FFFFFF"/>
            <w:vAlign w:val="center"/>
          </w:tcPr>
          <w:p>
            <w:pPr>
              <w:jc w:val="center"/>
              <w:rPr>
                <w:rFonts w:hint="eastAsia" w:ascii="Times New Roman" w:hAnsi="Times New Roman" w:cs="宋体" w:eastAsiaTheme="majorEastAsia"/>
                <w:kern w:val="2"/>
                <w:sz w:val="21"/>
                <w:szCs w:val="24"/>
                <w:lang w:val="en-US" w:eastAsia="zh-CN" w:bidi="ar-SA"/>
              </w:rPr>
            </w:pPr>
            <w:r>
              <w:rPr>
                <w:rFonts w:hint="eastAsia" w:ascii="Times New Roman" w:hAnsi="Times New Roman" w:cs="宋体" w:eastAsiaTheme="majorEastAsia"/>
                <w:kern w:val="2"/>
                <w:sz w:val="21"/>
                <w:szCs w:val="24"/>
                <w:lang w:val="en-US" w:eastAsia="zh-CN" w:bidi="ar-SA"/>
              </w:rPr>
              <w:t>50504</w:t>
            </w:r>
          </w:p>
          <w:p>
            <w:pPr>
              <w:jc w:val="center"/>
              <w:rPr>
                <w:rFonts w:asciiTheme="minorEastAsia" w:hAnsiTheme="minorEastAsia" w:eastAsiaTheme="minorEastAsia" w:cstheme="minorEastAsia"/>
                <w:b/>
                <w:sz w:val="18"/>
                <w:szCs w:val="18"/>
              </w:rPr>
            </w:pPr>
            <w:r>
              <w:rPr>
                <w:rFonts w:hint="eastAsia" w:ascii="Times New Roman" w:hAnsi="Times New Roman" w:cs="宋体" w:eastAsiaTheme="majorEastAsia"/>
                <w:kern w:val="2"/>
                <w:sz w:val="21"/>
                <w:szCs w:val="24"/>
                <w:lang w:val="en-US" w:eastAsia="zh-CN" w:bidi="ar-SA"/>
              </w:rPr>
              <w:t>00594</w:t>
            </w:r>
          </w:p>
        </w:tc>
        <w:tc>
          <w:tcPr>
            <w:tcW w:w="1430" w:type="dxa"/>
            <w:tcBorders>
              <w:top w:val="single" w:color="auto" w:sz="4" w:space="0"/>
              <w:left w:val="nil"/>
              <w:right w:val="single" w:color="auto" w:sz="4" w:space="0"/>
            </w:tcBorders>
            <w:shd w:val="clear" w:color="auto" w:fill="FFFFFF"/>
            <w:vAlign w:val="center"/>
          </w:tcPr>
          <w:p>
            <w:pPr>
              <w:pStyle w:val="9"/>
              <w:widowControl w:val="0"/>
              <w:spacing w:beforeAutospacing="0" w:afterAutospacing="0"/>
              <w:rPr>
                <w:rFonts w:hint="eastAsia" w:asciiTheme="minorEastAsia" w:hAnsiTheme="minorEastAsia" w:eastAsiaTheme="minorEastAsia" w:cstheme="minorEastAsia"/>
                <w:b/>
                <w:kern w:val="2"/>
                <w:sz w:val="18"/>
                <w:szCs w:val="18"/>
                <w:lang w:eastAsia="zh-CN"/>
              </w:rPr>
            </w:pPr>
            <w:r>
              <w:rPr>
                <w:rFonts w:hint="eastAsia" w:eastAsiaTheme="minorEastAsia"/>
                <w:b/>
                <w:bCs/>
              </w:rPr>
              <w:t>减温水阀门下阀杆</w:t>
            </w:r>
            <w:r>
              <w:rPr>
                <w:rFonts w:hint="eastAsia" w:eastAsiaTheme="minorEastAsia"/>
                <w:b/>
                <w:bCs/>
                <w:lang w:eastAsia="zh-CN"/>
              </w:rPr>
              <w:t>加工</w:t>
            </w:r>
          </w:p>
        </w:tc>
        <w:tc>
          <w:tcPr>
            <w:tcW w:w="1296" w:type="dxa"/>
            <w:vMerge w:val="restart"/>
            <w:tcBorders>
              <w:top w:val="nil"/>
              <w:left w:val="nil"/>
              <w:right w:val="single" w:color="auto" w:sz="4" w:space="0"/>
            </w:tcBorders>
            <w:shd w:val="clear" w:color="auto" w:fill="FFFFFF"/>
            <w:vAlign w:val="center"/>
          </w:tcPr>
          <w:p>
            <w:pPr>
              <w:rPr>
                <w:rFonts w:asciiTheme="minorHAnsi" w:hAnsiTheme="minorHAnsi" w:eastAsiaTheme="minorEastAsia"/>
              </w:rPr>
            </w:pPr>
            <w:r>
              <w:rPr>
                <w:rFonts w:hint="eastAsia" w:asciiTheme="minorHAnsi" w:hAnsiTheme="minorHAnsi" w:eastAsiaTheme="minorEastAsia"/>
              </w:rPr>
              <w:t>JB/T3595或E101规定</w:t>
            </w:r>
          </w:p>
          <w:p>
            <w:pPr>
              <w:pStyle w:val="2"/>
              <w:ind w:left="0" w:firstLine="0" w:firstLineChars="0"/>
              <w:rPr>
                <w:rFonts w:eastAsiaTheme="minorEastAsia"/>
              </w:rPr>
            </w:pPr>
            <w:r>
              <w:rPr>
                <w:rFonts w:hint="eastAsia" w:ascii="Calibri" w:hAnsi="Calibri" w:cs="黑体" w:eastAsiaTheme="minorEastAsia"/>
                <w:kern w:val="2"/>
                <w:sz w:val="21"/>
                <w:szCs w:val="22"/>
              </w:rPr>
              <w:t>GB/T7232-2012</w:t>
            </w:r>
          </w:p>
        </w:tc>
        <w:tc>
          <w:tcPr>
            <w:tcW w:w="4309" w:type="dxa"/>
            <w:tcBorders>
              <w:top w:val="single" w:color="auto" w:sz="4" w:space="0"/>
              <w:left w:val="nil"/>
              <w:right w:val="single" w:color="auto" w:sz="4" w:space="0"/>
            </w:tcBorders>
            <w:shd w:val="clear" w:color="auto" w:fill="FFFFFF"/>
            <w:vAlign w:val="center"/>
          </w:tcPr>
          <w:p>
            <w:pPr>
              <w:pStyle w:val="14"/>
              <w:jc w:val="left"/>
              <w:rPr>
                <w:rFonts w:cs="宋体" w:eastAsiaTheme="majorEastAsia"/>
              </w:rPr>
            </w:pPr>
            <w:r>
              <w:rPr>
                <w:rFonts w:hint="eastAsia" w:cs="宋体" w:eastAsiaTheme="majorEastAsia"/>
              </w:rPr>
              <w:t>阀杆制作符合图纸要求，与上阀杆配套，安装后确保上下传动灵活。</w:t>
            </w:r>
          </w:p>
        </w:tc>
        <w:tc>
          <w:tcPr>
            <w:tcW w:w="636" w:type="dxa"/>
            <w:tcBorders>
              <w:top w:val="single" w:color="auto" w:sz="4" w:space="0"/>
              <w:left w:val="nil"/>
              <w:right w:val="single" w:color="auto" w:sz="4" w:space="0"/>
            </w:tcBorders>
            <w:shd w:val="clear" w:color="auto" w:fill="FFFFFF"/>
            <w:vAlign w:val="center"/>
          </w:tcPr>
          <w:p>
            <w:pPr>
              <w:pStyle w:val="9"/>
              <w:widowControl w:val="0"/>
              <w:spacing w:beforeAutospacing="0" w:afterAutospacing="0"/>
              <w:jc w:val="center"/>
              <w:rPr>
                <w:rFonts w:hint="eastAsia" w:ascii="Times New Roman" w:hAnsi="Times New Roman" w:cs="宋体" w:eastAsiaTheme="majorEastAsia"/>
                <w:kern w:val="2"/>
                <w:sz w:val="21"/>
                <w:lang w:val="en-US" w:eastAsia="zh-CN"/>
              </w:rPr>
            </w:pPr>
            <w:r>
              <w:rPr>
                <w:rFonts w:hint="eastAsia" w:ascii="Times New Roman" w:hAnsi="Times New Roman" w:cs="宋体" w:eastAsiaTheme="majorEastAsia"/>
                <w:kern w:val="2"/>
                <w:sz w:val="21"/>
                <w:lang w:val="en-US" w:eastAsia="zh-CN"/>
              </w:rPr>
              <w:t>6</w:t>
            </w:r>
          </w:p>
        </w:tc>
        <w:tc>
          <w:tcPr>
            <w:tcW w:w="559" w:type="dxa"/>
            <w:tcBorders>
              <w:top w:val="single" w:color="auto" w:sz="4" w:space="0"/>
              <w:left w:val="nil"/>
              <w:right w:val="single" w:color="auto" w:sz="4" w:space="0"/>
            </w:tcBorders>
            <w:shd w:val="clear" w:color="auto" w:fill="FFFFFF"/>
            <w:vAlign w:val="center"/>
          </w:tcPr>
          <w:p>
            <w:pPr>
              <w:pStyle w:val="9"/>
              <w:widowControl w:val="0"/>
              <w:jc w:val="center"/>
              <w:rPr>
                <w:rFonts w:ascii="Times New Roman" w:hAnsi="Times New Roman" w:cs="宋体" w:eastAsiaTheme="majorEastAsia"/>
                <w:kern w:val="2"/>
                <w:sz w:val="21"/>
              </w:rPr>
            </w:pPr>
            <w:r>
              <w:rPr>
                <w:rFonts w:hint="eastAsia" w:ascii="Times New Roman" w:hAnsi="Times New Roman" w:cs="宋体" w:eastAsiaTheme="majorEastAsia"/>
                <w:kern w:val="2"/>
                <w:sz w:val="21"/>
              </w:rPr>
              <w:t>套</w:t>
            </w:r>
          </w:p>
        </w:tc>
        <w:tc>
          <w:tcPr>
            <w:tcW w:w="1005" w:type="dxa"/>
            <w:tcBorders>
              <w:top w:val="single" w:color="auto" w:sz="4" w:space="0"/>
              <w:left w:val="nil"/>
              <w:bottom w:val="single" w:color="auto" w:sz="4" w:space="0"/>
              <w:right w:val="single" w:color="auto" w:sz="4" w:space="0"/>
            </w:tcBorders>
            <w:shd w:val="clear" w:color="auto" w:fill="FFFFFF"/>
            <w:vAlign w:val="center"/>
          </w:tcPr>
          <w:p>
            <w:pPr>
              <w:pStyle w:val="9"/>
              <w:widowControl w:val="0"/>
              <w:spacing w:beforeAutospacing="0" w:afterAutospacing="0" w:line="360" w:lineRule="auto"/>
              <w:jc w:val="center"/>
              <w:rPr>
                <w:rFonts w:eastAsiaTheme="minorEastAsia"/>
                <w:kern w:val="2"/>
                <w:sz w:val="21"/>
                <w:szCs w:val="21"/>
              </w:rPr>
            </w:pPr>
          </w:p>
        </w:tc>
        <w:tc>
          <w:tcPr>
            <w:tcW w:w="978" w:type="dxa"/>
            <w:tcBorders>
              <w:top w:val="single" w:color="auto" w:sz="4" w:space="0"/>
              <w:left w:val="nil"/>
              <w:right w:val="single" w:color="auto" w:sz="4" w:space="0"/>
            </w:tcBorders>
            <w:shd w:val="clear" w:color="auto" w:fill="FFFFFF"/>
            <w:vAlign w:val="center"/>
          </w:tcPr>
          <w:p>
            <w:pPr>
              <w:pStyle w:val="9"/>
              <w:widowControl w:val="0"/>
              <w:spacing w:beforeAutospacing="0" w:afterAutospacing="0" w:line="360" w:lineRule="auto"/>
              <w:jc w:val="center"/>
              <w:rPr>
                <w:rFonts w:eastAsiaTheme="minorEastAsia"/>
                <w:kern w:val="2"/>
                <w:sz w:val="21"/>
                <w:szCs w:val="21"/>
              </w:rPr>
            </w:pPr>
          </w:p>
        </w:tc>
        <w:tc>
          <w:tcPr>
            <w:tcW w:w="979" w:type="dxa"/>
            <w:vMerge w:val="restart"/>
            <w:tcBorders>
              <w:top w:val="nil"/>
              <w:left w:val="nil"/>
              <w:right w:val="single" w:color="auto" w:sz="4" w:space="0"/>
            </w:tcBorders>
            <w:shd w:val="clear" w:color="auto" w:fill="FFFFFF"/>
            <w:vAlign w:val="center"/>
          </w:tcPr>
          <w:p>
            <w:p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签订合同、办理开工手续后30天内完成</w:t>
            </w:r>
          </w:p>
        </w:tc>
        <w:tc>
          <w:tcPr>
            <w:tcW w:w="890" w:type="dxa"/>
            <w:vMerge w:val="restart"/>
            <w:tcBorders>
              <w:top w:val="nil"/>
              <w:left w:val="nil"/>
              <w:right w:val="single" w:color="auto" w:sz="4" w:space="0"/>
            </w:tcBorders>
            <w:shd w:val="clear" w:color="auto" w:fill="FFFFFF"/>
            <w:vAlign w:val="center"/>
          </w:tcPr>
          <w:p>
            <w:pPr>
              <w:spacing w:line="360" w:lineRule="auto"/>
              <w:rPr>
                <w:rFonts w:hint="eastAsia" w:asciiTheme="minorEastAsia" w:hAnsiTheme="minorEastAsia" w:eastAsiaTheme="minorEastAsia" w:cstheme="minorBidi"/>
                <w:szCs w:val="21"/>
                <w:lang w:eastAsia="zh-CN"/>
              </w:rPr>
            </w:pPr>
            <w:r>
              <w:rPr>
                <w:rFonts w:asciiTheme="minorEastAsia" w:hAnsiTheme="minorEastAsia" w:eastAsiaTheme="minorEastAsia" w:cstheme="minorBidi"/>
                <w:szCs w:val="21"/>
              </w:rPr>
              <w:t>包头第二热电厂</w:t>
            </w:r>
            <w:r>
              <w:rPr>
                <w:rFonts w:hint="eastAsia" w:asciiTheme="minorEastAsia" w:hAnsiTheme="minorEastAsia" w:eastAsiaTheme="minorEastAsia" w:cstheme="minorBidi"/>
                <w:szCs w:val="21"/>
              </w:rPr>
              <w:t>外报价方加工</w:t>
            </w:r>
            <w:r>
              <w:rPr>
                <w:rFonts w:hint="eastAsia" w:asciiTheme="minorEastAsia" w:hAnsiTheme="minorEastAsia" w:eastAsiaTheme="minorEastAsia" w:cstheme="minorBidi"/>
                <w:szCs w:val="21"/>
                <w:lang w:eastAsia="zh-CN"/>
              </w:rPr>
              <w:t>。</w:t>
            </w:r>
          </w:p>
        </w:tc>
        <w:tc>
          <w:tcPr>
            <w:tcW w:w="1294" w:type="dxa"/>
            <w:vMerge w:val="restart"/>
            <w:tcBorders>
              <w:top w:val="single" w:color="auto" w:sz="4" w:space="0"/>
              <w:left w:val="nil"/>
              <w:right w:val="single" w:color="auto" w:sz="4" w:space="0"/>
            </w:tcBorders>
            <w:shd w:val="clear" w:color="auto" w:fill="FFFFFF"/>
            <w:vAlign w:val="center"/>
          </w:tcPr>
          <w:p>
            <w:pPr>
              <w:spacing w:line="360" w:lineRule="auto"/>
              <w:rPr>
                <w:rFonts w:hint="eastAsia" w:ascii="Times New Roman" w:hAnsi="Times New Roman" w:cs="宋体" w:eastAsiaTheme="majorEastAsia"/>
                <w:kern w:val="2"/>
                <w:sz w:val="21"/>
                <w:szCs w:val="24"/>
                <w:lang w:val="en-US" w:eastAsia="zh-CN" w:bidi="ar-SA"/>
              </w:rPr>
            </w:pPr>
            <w:r>
              <w:rPr>
                <w:rFonts w:hint="eastAsia" w:ascii="Times New Roman" w:hAnsi="Times New Roman" w:cs="宋体" w:eastAsiaTheme="majorEastAsia"/>
                <w:kern w:val="2"/>
                <w:sz w:val="21"/>
                <w:szCs w:val="24"/>
                <w:lang w:val="en-US" w:eastAsia="zh-CN" w:bidi="ar-SA"/>
              </w:rPr>
              <w:t>施工所用工器具、材料、运输、装卸车由报价方负责。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0" w:hRule="atLeast"/>
        </w:trPr>
        <w:tc>
          <w:tcPr>
            <w:tcW w:w="589" w:type="dxa"/>
            <w:tcBorders>
              <w:top w:val="single" w:color="auto" w:sz="4" w:space="0"/>
              <w:left w:val="single" w:color="auto" w:sz="4" w:space="0"/>
              <w:right w:val="single" w:color="auto" w:sz="4" w:space="0"/>
            </w:tcBorders>
            <w:shd w:val="clear" w:color="auto" w:fill="auto"/>
            <w:vAlign w:val="center"/>
          </w:tcPr>
          <w:p>
            <w:pPr>
              <w:pStyle w:val="9"/>
              <w:widowControl w:val="0"/>
              <w:spacing w:beforeAutospacing="0" w:afterAutospacing="0"/>
              <w:jc w:val="center"/>
              <w:rPr>
                <w:rFonts w:asciiTheme="minorEastAsia" w:hAnsiTheme="minorEastAsia" w:eastAsiaTheme="minorEastAsia" w:cstheme="minorEastAsia"/>
                <w:kern w:val="2"/>
                <w:szCs w:val="28"/>
              </w:rPr>
            </w:pPr>
            <w:r>
              <w:rPr>
                <w:rFonts w:hint="eastAsia" w:asciiTheme="minorEastAsia" w:hAnsiTheme="minorEastAsia" w:eastAsiaTheme="minorEastAsia" w:cstheme="minorEastAsia"/>
                <w:kern w:val="2"/>
                <w:szCs w:val="28"/>
              </w:rPr>
              <w:t>2</w:t>
            </w:r>
          </w:p>
        </w:tc>
        <w:tc>
          <w:tcPr>
            <w:tcW w:w="884" w:type="dxa"/>
            <w:vMerge w:val="continue"/>
            <w:tcBorders>
              <w:left w:val="nil"/>
              <w:right w:val="single" w:color="auto" w:sz="4" w:space="0"/>
            </w:tcBorders>
            <w:shd w:val="clear" w:color="auto" w:fill="FFFFFF"/>
          </w:tcPr>
          <w:p>
            <w:pPr>
              <w:jc w:val="center"/>
              <w:rPr>
                <w:rFonts w:ascii="宋体" w:hAnsi="宋体" w:cs="Times New Roman" w:eastAsiaTheme="minorEastAsia"/>
                <w:bCs/>
                <w:kern w:val="0"/>
                <w:sz w:val="24"/>
                <w:szCs w:val="24"/>
              </w:rPr>
            </w:pPr>
          </w:p>
        </w:tc>
        <w:tc>
          <w:tcPr>
            <w:tcW w:w="1430" w:type="dxa"/>
            <w:tcBorders>
              <w:top w:val="single" w:color="auto" w:sz="4" w:space="0"/>
              <w:left w:val="nil"/>
              <w:right w:val="single" w:color="auto" w:sz="4" w:space="0"/>
            </w:tcBorders>
            <w:shd w:val="clear" w:color="auto" w:fill="FFFFFF"/>
            <w:vAlign w:val="center"/>
          </w:tcPr>
          <w:p>
            <w:pPr>
              <w:pStyle w:val="9"/>
              <w:widowControl w:val="0"/>
              <w:spacing w:beforeAutospacing="0" w:afterAutospacing="0"/>
              <w:rPr>
                <w:rFonts w:hint="eastAsia" w:eastAsiaTheme="minorEastAsia"/>
                <w:b/>
                <w:bCs/>
                <w:lang w:eastAsia="zh-CN"/>
              </w:rPr>
            </w:pPr>
            <w:r>
              <w:rPr>
                <w:rFonts w:hint="eastAsia" w:eastAsiaTheme="minorEastAsia"/>
                <w:b/>
                <w:bCs/>
              </w:rPr>
              <w:t>减温水阀门阀芯</w:t>
            </w:r>
            <w:r>
              <w:rPr>
                <w:rFonts w:hint="eastAsia" w:eastAsiaTheme="minorEastAsia"/>
                <w:b/>
                <w:bCs/>
                <w:lang w:eastAsia="zh-CN"/>
              </w:rPr>
              <w:t>加工</w:t>
            </w:r>
          </w:p>
        </w:tc>
        <w:tc>
          <w:tcPr>
            <w:tcW w:w="1296" w:type="dxa"/>
            <w:vMerge w:val="continue"/>
            <w:tcBorders>
              <w:left w:val="nil"/>
              <w:right w:val="single" w:color="auto" w:sz="4" w:space="0"/>
            </w:tcBorders>
            <w:shd w:val="clear" w:color="auto" w:fill="FFFFFF"/>
            <w:vAlign w:val="center"/>
          </w:tcPr>
          <w:p>
            <w:pPr>
              <w:pStyle w:val="14"/>
              <w:jc w:val="left"/>
              <w:rPr>
                <w:rFonts w:asciiTheme="minorEastAsia" w:hAnsiTheme="minorEastAsia" w:eastAsiaTheme="minorEastAsia" w:cstheme="minorBidi"/>
                <w:szCs w:val="21"/>
              </w:rPr>
            </w:pPr>
          </w:p>
        </w:tc>
        <w:tc>
          <w:tcPr>
            <w:tcW w:w="4309" w:type="dxa"/>
            <w:tcBorders>
              <w:top w:val="single" w:color="auto" w:sz="4" w:space="0"/>
              <w:left w:val="nil"/>
              <w:right w:val="single" w:color="auto" w:sz="4" w:space="0"/>
            </w:tcBorders>
            <w:shd w:val="clear" w:color="auto" w:fill="FFFFFF"/>
            <w:vAlign w:val="center"/>
          </w:tcPr>
          <w:p>
            <w:pPr>
              <w:pStyle w:val="14"/>
              <w:jc w:val="left"/>
              <w:rPr>
                <w:rFonts w:asciiTheme="minorEastAsia" w:hAnsiTheme="minorEastAsia" w:eastAsiaTheme="minorEastAsia" w:cstheme="minorBidi"/>
                <w:szCs w:val="21"/>
              </w:rPr>
            </w:pPr>
            <w:r>
              <w:rPr>
                <w:rFonts w:hint="eastAsia" w:asciiTheme="minorEastAsia" w:hAnsiTheme="minorEastAsia" w:eastAsiaTheme="minorEastAsia" w:cstheme="minorBidi"/>
                <w:szCs w:val="21"/>
              </w:rPr>
              <w:t>阀芯制作</w:t>
            </w:r>
            <w:r>
              <w:rPr>
                <w:rFonts w:hint="eastAsia" w:cs="宋体" w:eastAsiaTheme="majorEastAsia"/>
              </w:rPr>
              <w:t>符合图纸要求，与下阀杆配套，确保阀门的严密性。</w:t>
            </w:r>
          </w:p>
        </w:tc>
        <w:tc>
          <w:tcPr>
            <w:tcW w:w="636" w:type="dxa"/>
            <w:tcBorders>
              <w:top w:val="single" w:color="auto" w:sz="4" w:space="0"/>
              <w:left w:val="nil"/>
              <w:right w:val="single" w:color="auto" w:sz="4" w:space="0"/>
            </w:tcBorders>
            <w:shd w:val="clear" w:color="auto" w:fill="FFFFFF"/>
            <w:vAlign w:val="center"/>
          </w:tcPr>
          <w:p>
            <w:pPr>
              <w:pStyle w:val="9"/>
              <w:widowControl w:val="0"/>
              <w:spacing w:beforeAutospacing="0" w:afterAutospacing="0"/>
              <w:jc w:val="center"/>
              <w:rPr>
                <w:rFonts w:hint="eastAsia" w:ascii="Times New Roman" w:hAnsi="Times New Roman" w:cs="宋体" w:eastAsiaTheme="majorEastAsia"/>
                <w:kern w:val="2"/>
                <w:sz w:val="21"/>
                <w:lang w:val="en-US" w:eastAsia="zh-CN"/>
              </w:rPr>
            </w:pPr>
            <w:r>
              <w:rPr>
                <w:rFonts w:hint="eastAsia" w:ascii="Times New Roman" w:hAnsi="Times New Roman" w:cs="宋体" w:eastAsiaTheme="majorEastAsia"/>
                <w:kern w:val="2"/>
                <w:sz w:val="21"/>
                <w:lang w:val="en-US" w:eastAsia="zh-CN"/>
              </w:rPr>
              <w:t>6</w:t>
            </w:r>
          </w:p>
        </w:tc>
        <w:tc>
          <w:tcPr>
            <w:tcW w:w="559" w:type="dxa"/>
            <w:tcBorders>
              <w:top w:val="single" w:color="auto" w:sz="4" w:space="0"/>
              <w:left w:val="nil"/>
              <w:right w:val="single" w:color="auto" w:sz="4" w:space="0"/>
            </w:tcBorders>
            <w:shd w:val="clear" w:color="auto" w:fill="FFFFFF"/>
            <w:vAlign w:val="center"/>
          </w:tcPr>
          <w:p>
            <w:pPr>
              <w:pStyle w:val="9"/>
              <w:widowControl w:val="0"/>
              <w:jc w:val="center"/>
              <w:rPr>
                <w:rFonts w:ascii="Times New Roman" w:hAnsi="Times New Roman" w:cs="宋体" w:eastAsiaTheme="majorEastAsia"/>
                <w:kern w:val="2"/>
                <w:sz w:val="21"/>
              </w:rPr>
            </w:pPr>
            <w:r>
              <w:rPr>
                <w:rFonts w:hint="eastAsia" w:ascii="Times New Roman" w:hAnsi="Times New Roman" w:cs="宋体" w:eastAsiaTheme="majorEastAsia"/>
                <w:kern w:val="2"/>
                <w:sz w:val="21"/>
              </w:rPr>
              <w:t>套</w:t>
            </w:r>
          </w:p>
        </w:tc>
        <w:tc>
          <w:tcPr>
            <w:tcW w:w="1005" w:type="dxa"/>
            <w:tcBorders>
              <w:top w:val="single" w:color="auto" w:sz="4" w:space="0"/>
              <w:left w:val="nil"/>
              <w:bottom w:val="single" w:color="auto" w:sz="4" w:space="0"/>
              <w:right w:val="single" w:color="auto" w:sz="4" w:space="0"/>
            </w:tcBorders>
            <w:shd w:val="clear" w:color="auto" w:fill="FFFFFF"/>
            <w:vAlign w:val="center"/>
          </w:tcPr>
          <w:p>
            <w:pPr>
              <w:pStyle w:val="9"/>
              <w:widowControl w:val="0"/>
              <w:spacing w:beforeAutospacing="0" w:afterAutospacing="0" w:line="360" w:lineRule="auto"/>
              <w:jc w:val="center"/>
              <w:rPr>
                <w:rFonts w:eastAsiaTheme="minorEastAsia"/>
                <w:kern w:val="2"/>
                <w:sz w:val="21"/>
                <w:szCs w:val="21"/>
              </w:rPr>
            </w:pPr>
          </w:p>
        </w:tc>
        <w:tc>
          <w:tcPr>
            <w:tcW w:w="978" w:type="dxa"/>
            <w:tcBorders>
              <w:top w:val="single" w:color="auto" w:sz="4" w:space="0"/>
              <w:left w:val="nil"/>
              <w:right w:val="single" w:color="auto" w:sz="4" w:space="0"/>
            </w:tcBorders>
            <w:shd w:val="clear" w:color="auto" w:fill="FFFFFF"/>
            <w:vAlign w:val="center"/>
          </w:tcPr>
          <w:p>
            <w:pPr>
              <w:pStyle w:val="9"/>
              <w:widowControl w:val="0"/>
              <w:spacing w:beforeAutospacing="0" w:afterAutospacing="0" w:line="360" w:lineRule="auto"/>
              <w:jc w:val="center"/>
              <w:rPr>
                <w:rFonts w:eastAsiaTheme="minorEastAsia"/>
                <w:kern w:val="2"/>
                <w:sz w:val="21"/>
                <w:szCs w:val="21"/>
              </w:rPr>
            </w:pPr>
          </w:p>
        </w:tc>
        <w:tc>
          <w:tcPr>
            <w:tcW w:w="979" w:type="dxa"/>
            <w:vMerge w:val="continue"/>
            <w:tcBorders>
              <w:left w:val="nil"/>
              <w:right w:val="single" w:color="auto" w:sz="4" w:space="0"/>
            </w:tcBorders>
            <w:shd w:val="clear" w:color="auto" w:fill="FFFFFF"/>
            <w:vAlign w:val="center"/>
          </w:tcPr>
          <w:p>
            <w:pPr>
              <w:spacing w:line="360" w:lineRule="auto"/>
              <w:rPr>
                <w:rFonts w:asciiTheme="minorEastAsia" w:hAnsiTheme="minorEastAsia" w:eastAsiaTheme="minorEastAsia" w:cstheme="minorEastAsia"/>
                <w:sz w:val="18"/>
                <w:szCs w:val="18"/>
              </w:rPr>
            </w:pPr>
          </w:p>
        </w:tc>
        <w:tc>
          <w:tcPr>
            <w:tcW w:w="890" w:type="dxa"/>
            <w:vMerge w:val="continue"/>
            <w:tcBorders>
              <w:left w:val="nil"/>
              <w:right w:val="single" w:color="auto" w:sz="4" w:space="0"/>
            </w:tcBorders>
            <w:shd w:val="clear" w:color="auto" w:fill="FFFFFF"/>
            <w:vAlign w:val="center"/>
          </w:tcPr>
          <w:p>
            <w:pPr>
              <w:spacing w:line="360" w:lineRule="auto"/>
              <w:rPr>
                <w:rFonts w:asciiTheme="minorEastAsia" w:hAnsiTheme="minorEastAsia" w:eastAsiaTheme="minorEastAsia" w:cstheme="minorEastAsia"/>
                <w:sz w:val="18"/>
                <w:szCs w:val="18"/>
              </w:rPr>
            </w:pPr>
          </w:p>
        </w:tc>
        <w:tc>
          <w:tcPr>
            <w:tcW w:w="1294" w:type="dxa"/>
            <w:vMerge w:val="continue"/>
            <w:tcBorders>
              <w:left w:val="nil"/>
              <w:right w:val="single" w:color="auto" w:sz="4" w:space="0"/>
            </w:tcBorders>
            <w:shd w:val="clear" w:color="auto" w:fill="FFFFFF"/>
            <w:vAlign w:val="center"/>
          </w:tcPr>
          <w:p>
            <w:pPr>
              <w:spacing w:line="360" w:lineRule="auto"/>
              <w:rPr>
                <w:rFonts w:asciiTheme="minorEastAsia" w:hAnsiTheme="minorEastAsia" w:eastAsiaTheme="minorEastAsia" w:cs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trPr>
        <w:tc>
          <w:tcPr>
            <w:tcW w:w="10708" w:type="dxa"/>
            <w:gridSpan w:val="8"/>
            <w:tcBorders>
              <w:top w:val="single" w:color="auto" w:sz="4" w:space="0"/>
              <w:left w:val="single" w:color="auto" w:sz="4" w:space="0"/>
              <w:bottom w:val="single" w:color="auto" w:sz="4" w:space="0"/>
              <w:right w:val="single" w:color="auto" w:sz="4" w:space="0"/>
            </w:tcBorders>
            <w:shd w:val="clear" w:color="auto" w:fill="auto"/>
          </w:tcPr>
          <w:p>
            <w:pPr>
              <w:pStyle w:val="9"/>
              <w:widowControl w:val="0"/>
              <w:spacing w:beforeAutospacing="0" w:afterAutospacing="0" w:line="360" w:lineRule="auto"/>
              <w:jc w:val="center"/>
              <w:rPr>
                <w:rFonts w:eastAsiaTheme="minorEastAsia"/>
                <w:kern w:val="2"/>
              </w:rPr>
            </w:pPr>
            <w:r>
              <w:rPr>
                <w:rFonts w:hint="eastAsia" w:eastAsiaTheme="minorEastAsia"/>
                <w:kern w:val="2"/>
              </w:rPr>
              <w:t>合   计（元）</w:t>
            </w:r>
          </w:p>
        </w:tc>
        <w:tc>
          <w:tcPr>
            <w:tcW w:w="4141" w:type="dxa"/>
            <w:gridSpan w:val="4"/>
            <w:tcBorders>
              <w:top w:val="single" w:color="auto" w:sz="4" w:space="0"/>
              <w:left w:val="nil"/>
              <w:bottom w:val="single" w:color="auto" w:sz="4" w:space="0"/>
              <w:right w:val="single" w:color="auto" w:sz="4" w:space="0"/>
            </w:tcBorders>
            <w:shd w:val="clear" w:color="auto" w:fill="auto"/>
          </w:tcPr>
          <w:p>
            <w:pPr>
              <w:pStyle w:val="9"/>
              <w:widowControl w:val="0"/>
              <w:spacing w:beforeAutospacing="0" w:afterAutospacing="0" w:line="360" w:lineRule="auto"/>
              <w:rPr>
                <w:rFonts w:eastAsiaTheme="minorEastAsia"/>
                <w:kern w:val="2"/>
              </w:rPr>
            </w:pPr>
          </w:p>
        </w:tc>
      </w:tr>
    </w:tbl>
    <w:p>
      <w:pPr>
        <w:pStyle w:val="14"/>
        <w:spacing w:line="360" w:lineRule="auto"/>
        <w:textAlignment w:val="baseline"/>
        <w:rPr>
          <w:rFonts w:ascii="宋体" w:hAnsi="宋体"/>
          <w:sz w:val="24"/>
        </w:rPr>
      </w:pPr>
      <w:r>
        <w:rPr>
          <w:rFonts w:ascii="宋体" w:hAnsi="宋体"/>
          <w:sz w:val="24"/>
        </w:rPr>
        <w:t>法人</w:t>
      </w:r>
      <w:r>
        <w:rPr>
          <w:rFonts w:hint="eastAsia" w:ascii="宋体" w:hAnsi="宋体"/>
          <w:sz w:val="24"/>
        </w:rPr>
        <w:t>或</w:t>
      </w:r>
      <w:r>
        <w:rPr>
          <w:rFonts w:ascii="宋体" w:hAnsi="宋体"/>
          <w:sz w:val="24"/>
        </w:rPr>
        <w:t>授权代表签字</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单位：（盖公章）</w:t>
      </w:r>
    </w:p>
    <w:p>
      <w:pPr>
        <w:pStyle w:val="14"/>
        <w:spacing w:line="360" w:lineRule="auto"/>
        <w:rPr>
          <w:rFonts w:ascii="宋体" w:hAnsi="宋体"/>
          <w:sz w:val="24"/>
        </w:rPr>
      </w:pPr>
      <w:r>
        <w:rPr>
          <w:rFonts w:hint="eastAsia" w:ascii="宋体" w:hAnsi="宋体"/>
          <w:sz w:val="24"/>
        </w:rPr>
        <w:t>联系电话：</w:t>
      </w:r>
    </w:p>
    <w:p>
      <w:pPr>
        <w:pStyle w:val="14"/>
        <w:spacing w:line="360" w:lineRule="auto"/>
        <w:rPr>
          <w:rFonts w:ascii="黑体" w:hAnsi="黑体" w:eastAsia="黑体"/>
          <w:sz w:val="40"/>
          <w:szCs w:val="32"/>
        </w:rPr>
        <w:sectPr>
          <w:pgSz w:w="16838" w:h="11906" w:orient="landscape"/>
          <w:pgMar w:top="1800" w:right="1440" w:bottom="1800" w:left="1440" w:header="851" w:footer="992" w:gutter="0"/>
          <w:cols w:space="425" w:num="1"/>
          <w:docGrid w:type="lines" w:linePitch="312" w:charSpace="0"/>
        </w:sectPr>
      </w:pPr>
      <w:r>
        <w:rPr>
          <w:rFonts w:hint="eastAsia" w:ascii="宋体" w:hAnsi="宋体"/>
          <w:sz w:val="24"/>
        </w:rPr>
        <w:t xml:space="preserve">2023年   月    日                                                   </w:t>
      </w:r>
      <w:r>
        <w:rPr>
          <w:rFonts w:hint="eastAsia" w:ascii="宋体" w:hAnsi="宋体"/>
          <w:b/>
          <w:color w:val="FF0000"/>
          <w:sz w:val="24"/>
          <w:highlight w:val="yellow"/>
        </w:rPr>
        <w:t>（必须按照此表报价，必须签字并盖章）</w:t>
      </w:r>
    </w:p>
    <w:p>
      <w:pPr>
        <w:pStyle w:val="14"/>
        <w:spacing w:line="360" w:lineRule="auto"/>
        <w:rPr>
          <w:rFonts w:asciiTheme="minorEastAsia" w:hAnsiTheme="minorEastAsia" w:eastAsiaTheme="minorEastAsia" w:cstheme="minorEastAsia"/>
          <w:bCs/>
          <w:sz w:val="28"/>
        </w:rPr>
      </w:pPr>
      <w:r>
        <w:rPr>
          <w:rFonts w:hint="eastAsia" w:asciiTheme="minorEastAsia" w:hAnsiTheme="minorEastAsia" w:eastAsiaTheme="minorEastAsia" w:cstheme="minorEastAsia"/>
          <w:b/>
          <w:sz w:val="28"/>
        </w:rPr>
        <w:t>具体施工内容</w:t>
      </w:r>
      <w:r>
        <w:rPr>
          <w:rFonts w:hint="eastAsia" w:asciiTheme="minorEastAsia" w:hAnsiTheme="minorEastAsia" w:eastAsiaTheme="minorEastAsia" w:cstheme="minorEastAsia"/>
          <w:bCs/>
          <w:sz w:val="28"/>
        </w:rPr>
        <w:t>：</w:t>
      </w:r>
    </w:p>
    <w:p>
      <w:pPr>
        <w:spacing w:line="360" w:lineRule="auto"/>
        <w:rPr>
          <w:rFonts w:cs="宋体" w:eastAsiaTheme="majorEastAsia"/>
          <w:sz w:val="24"/>
          <w:szCs w:val="24"/>
        </w:rPr>
      </w:pPr>
      <w:bookmarkStart w:id="0" w:name="_Toc447127799"/>
      <w:bookmarkStart w:id="1" w:name="_Toc448413422"/>
      <w:r>
        <w:rPr>
          <w:rFonts w:hint="eastAsia" w:ascii="宋体" w:hAnsi="宋体"/>
          <w:b/>
          <w:bCs/>
          <w:sz w:val="24"/>
          <w:szCs w:val="21"/>
        </w:rPr>
        <w:t>1.</w:t>
      </w:r>
      <w:r>
        <w:rPr>
          <w:rFonts w:hint="eastAsia" w:ascii="宋体" w:hAnsi="宋体"/>
          <w:b/>
          <w:bCs/>
          <w:sz w:val="24"/>
        </w:rPr>
        <w:t>减温水阀门下阀杆</w:t>
      </w:r>
      <w:r>
        <w:rPr>
          <w:rFonts w:hint="eastAsia" w:ascii="宋体" w:hAnsi="宋体"/>
          <w:b/>
          <w:bCs/>
          <w:sz w:val="24"/>
          <w:lang w:eastAsia="zh-CN"/>
        </w:rPr>
        <w:t>加工</w:t>
      </w:r>
      <w:r>
        <w:rPr>
          <w:rFonts w:hint="eastAsia" w:ascii="宋体" w:hAnsi="宋体"/>
          <w:b/>
          <w:bCs/>
          <w:sz w:val="24"/>
          <w:lang w:val="en-US" w:eastAsia="zh-CN"/>
        </w:rPr>
        <w:t>6</w:t>
      </w:r>
      <w:r>
        <w:rPr>
          <w:rFonts w:hint="eastAsia" w:ascii="宋体" w:hAnsi="宋体"/>
          <w:b/>
          <w:bCs/>
          <w:sz w:val="24"/>
        </w:rPr>
        <w:t>套，</w:t>
      </w:r>
      <w:r>
        <w:rPr>
          <w:rFonts w:hint="eastAsia" w:ascii="宋体" w:hAnsi="宋体"/>
          <w:b/>
          <w:bCs/>
          <w:sz w:val="24"/>
          <w:szCs w:val="21"/>
        </w:rPr>
        <w:t>包括：</w:t>
      </w:r>
      <w:r>
        <w:rPr>
          <w:rFonts w:hint="eastAsia" w:ascii="宋体" w:hAnsi="宋体"/>
          <w:sz w:val="24"/>
          <w:szCs w:val="24"/>
        </w:rPr>
        <w:t>阀杆制作符合图纸要求，与上阀杆配套，安装后确保上下传动灵活。</w:t>
      </w:r>
    </w:p>
    <w:p>
      <w:pPr>
        <w:pStyle w:val="2"/>
        <w:ind w:left="0" w:firstLine="0" w:firstLineChars="0"/>
        <w:rPr>
          <w:rFonts w:cs="黑体"/>
          <w:kern w:val="2"/>
          <w:sz w:val="24"/>
          <w:szCs w:val="24"/>
        </w:rPr>
      </w:pPr>
      <w:r>
        <w:rPr>
          <w:rFonts w:hint="eastAsia" w:ascii="Calibri" w:hAnsi="Calibri" w:cs="宋体" w:eastAsiaTheme="majorEastAsia"/>
          <w:b/>
          <w:kern w:val="2"/>
          <w:sz w:val="24"/>
          <w:szCs w:val="24"/>
        </w:rPr>
        <w:t>2.</w:t>
      </w:r>
      <w:r>
        <w:rPr>
          <w:rFonts w:hint="eastAsia"/>
          <w:b/>
          <w:bCs/>
          <w:sz w:val="24"/>
        </w:rPr>
        <w:t>减温水阀门阀芯</w:t>
      </w:r>
      <w:r>
        <w:rPr>
          <w:rFonts w:hint="eastAsia"/>
          <w:b/>
          <w:bCs/>
          <w:sz w:val="24"/>
          <w:lang w:eastAsia="zh-CN"/>
        </w:rPr>
        <w:t>加工</w:t>
      </w:r>
      <w:r>
        <w:rPr>
          <w:rFonts w:hint="eastAsia"/>
          <w:b/>
          <w:bCs/>
          <w:sz w:val="24"/>
          <w:lang w:val="en-US" w:eastAsia="zh-CN"/>
        </w:rPr>
        <w:t>6</w:t>
      </w:r>
      <w:r>
        <w:rPr>
          <w:rFonts w:hint="eastAsia"/>
          <w:b/>
          <w:bCs/>
          <w:sz w:val="24"/>
        </w:rPr>
        <w:t>套</w:t>
      </w:r>
      <w:r>
        <w:rPr>
          <w:rFonts w:hint="eastAsia" w:ascii="Calibri" w:hAnsi="Calibri" w:cs="宋体" w:eastAsiaTheme="majorEastAsia"/>
          <w:b/>
          <w:kern w:val="2"/>
          <w:sz w:val="24"/>
          <w:szCs w:val="24"/>
        </w:rPr>
        <w:t>，包括：</w:t>
      </w:r>
      <w:r>
        <w:rPr>
          <w:rFonts w:hint="eastAsia" w:cs="黑体"/>
          <w:kern w:val="2"/>
          <w:sz w:val="24"/>
          <w:szCs w:val="24"/>
        </w:rPr>
        <w:t>阀芯制作符合图纸要求，与下阀杆配套，确保阀门的严密性。</w:t>
      </w:r>
    </w:p>
    <w:p/>
    <w:p>
      <w:pPr>
        <w:pStyle w:val="2"/>
        <w:ind w:left="0" w:firstLine="0" w:firstLineChars="0"/>
        <w:rPr>
          <w:rFonts w:ascii="黑体" w:eastAsia="黑体" w:cs="黑体"/>
          <w:b/>
        </w:rPr>
      </w:pPr>
      <w:r>
        <w:rPr>
          <w:rFonts w:hint="eastAsia" w:ascii="黑体" w:eastAsia="黑体" w:cs="黑体"/>
          <w:b/>
        </w:rPr>
        <w:t>二、主要技术要求</w:t>
      </w:r>
      <w:bookmarkEnd w:id="0"/>
      <w:bookmarkEnd w:id="1"/>
    </w:p>
    <w:p>
      <w:pPr>
        <w:spacing w:line="360" w:lineRule="auto"/>
        <w:rPr>
          <w:rFonts w:ascii="宋体" w:hAnsi="宋体"/>
          <w:b/>
          <w:sz w:val="24"/>
          <w:szCs w:val="24"/>
        </w:rPr>
      </w:pPr>
      <w:r>
        <w:rPr>
          <w:rFonts w:hint="eastAsia" w:ascii="宋体" w:hAnsi="宋体"/>
          <w:b/>
          <w:bCs/>
          <w:sz w:val="24"/>
          <w:szCs w:val="24"/>
        </w:rPr>
        <w:t>1.</w:t>
      </w:r>
      <w:r>
        <w:rPr>
          <w:rFonts w:hint="eastAsia" w:ascii="宋体" w:hAnsi="宋体"/>
          <w:b/>
          <w:bCs/>
          <w:sz w:val="24"/>
        </w:rPr>
        <w:t>减温水阀门下阀杆加工的</w:t>
      </w:r>
      <w:r>
        <w:rPr>
          <w:rFonts w:hint="eastAsia" w:ascii="宋体" w:hAnsi="宋体"/>
          <w:b/>
          <w:bCs/>
          <w:sz w:val="24"/>
          <w:szCs w:val="24"/>
        </w:rPr>
        <w:t>技术要求：</w:t>
      </w:r>
    </w:p>
    <w:p>
      <w:pPr>
        <w:spacing w:line="360" w:lineRule="auto"/>
        <w:rPr>
          <w:rFonts w:hint="eastAsia" w:ascii="宋体" w:hAnsi="宋体"/>
          <w:sz w:val="24"/>
          <w:szCs w:val="24"/>
        </w:rPr>
      </w:pPr>
      <w:r>
        <w:rPr>
          <w:rFonts w:hint="eastAsia" w:ascii="宋体" w:hAnsi="宋体"/>
          <w:sz w:val="24"/>
          <w:szCs w:val="24"/>
        </w:rPr>
        <w:t>1.1准备阀杆原材料2Cr13，满足询价方尺寸要求。</w:t>
      </w:r>
    </w:p>
    <w:p>
      <w:pPr>
        <w:spacing w:line="360" w:lineRule="auto"/>
        <w:rPr>
          <w:rFonts w:hint="eastAsia" w:ascii="宋体" w:hAnsi="宋体"/>
          <w:sz w:val="24"/>
          <w:szCs w:val="24"/>
        </w:rPr>
      </w:pPr>
      <w:r>
        <w:rPr>
          <w:rFonts w:hint="eastAsia" w:ascii="宋体" w:hAnsi="宋体"/>
          <w:sz w:val="24"/>
          <w:szCs w:val="24"/>
        </w:rPr>
        <w:t>1.2制作毛坯料，粗加工至图纸尺寸，各留加工余量3毫米。</w:t>
      </w:r>
    </w:p>
    <w:p>
      <w:pPr>
        <w:spacing w:line="360" w:lineRule="auto"/>
        <w:rPr>
          <w:rFonts w:hint="eastAsia" w:ascii="宋体" w:hAnsi="宋体"/>
          <w:sz w:val="24"/>
          <w:szCs w:val="24"/>
        </w:rPr>
      </w:pPr>
      <w:r>
        <w:rPr>
          <w:rFonts w:hint="eastAsia" w:ascii="宋体" w:hAnsi="宋体"/>
          <w:sz w:val="24"/>
          <w:szCs w:val="24"/>
        </w:rPr>
        <w:t>1.3.热处理阀杆材料，首先淬火温度达到1050℃后。温度降至650℃回火调制处理。</w:t>
      </w:r>
    </w:p>
    <w:p>
      <w:pPr>
        <w:spacing w:line="360" w:lineRule="auto"/>
        <w:rPr>
          <w:rFonts w:hint="eastAsia" w:ascii="宋体" w:hAnsi="宋体"/>
          <w:sz w:val="24"/>
          <w:szCs w:val="24"/>
        </w:rPr>
      </w:pPr>
      <w:r>
        <w:rPr>
          <w:rFonts w:hint="eastAsia" w:ascii="宋体" w:hAnsi="宋体"/>
          <w:sz w:val="24"/>
          <w:szCs w:val="24"/>
        </w:rPr>
        <w:t>1.4.车床加工，车端面见平，钻中心孔，顶车阀杆外圆粗车，留半精车余量1mm。</w:t>
      </w:r>
    </w:p>
    <w:p>
      <w:pPr>
        <w:spacing w:line="360" w:lineRule="auto"/>
        <w:rPr>
          <w:rFonts w:hint="eastAsia" w:ascii="宋体" w:hAnsi="宋体"/>
          <w:sz w:val="24"/>
          <w:szCs w:val="24"/>
        </w:rPr>
      </w:pPr>
      <w:r>
        <w:rPr>
          <w:rFonts w:hint="eastAsia" w:ascii="宋体" w:hAnsi="宋体"/>
          <w:sz w:val="24"/>
          <w:szCs w:val="24"/>
        </w:rPr>
        <w:t>1.5.堆焊硬质合金材料：焊接前做焊前预热热处理，焊接司太立合金材料，达到图纸要求，堆焊结束检查是否满足技术要求。焊后做热处理，随炉降温至室温。</w:t>
      </w:r>
    </w:p>
    <w:p>
      <w:pPr>
        <w:spacing w:line="360" w:lineRule="auto"/>
        <w:rPr>
          <w:rFonts w:hint="eastAsia" w:ascii="宋体" w:hAnsi="宋体"/>
          <w:sz w:val="24"/>
          <w:szCs w:val="24"/>
        </w:rPr>
      </w:pPr>
      <w:r>
        <w:rPr>
          <w:rFonts w:hint="eastAsia" w:ascii="宋体" w:hAnsi="宋体"/>
          <w:sz w:val="24"/>
          <w:szCs w:val="24"/>
        </w:rPr>
        <w:t>1.6.数控车床加工，按图纸要求达到技术要求。</w:t>
      </w:r>
    </w:p>
    <w:p>
      <w:pPr>
        <w:spacing w:line="360" w:lineRule="auto"/>
        <w:rPr>
          <w:rFonts w:hint="eastAsia" w:ascii="宋体" w:hAnsi="宋体"/>
          <w:sz w:val="24"/>
          <w:szCs w:val="24"/>
        </w:rPr>
      </w:pPr>
      <w:r>
        <w:rPr>
          <w:rFonts w:hint="eastAsia" w:ascii="宋体" w:hAnsi="宋体"/>
          <w:sz w:val="24"/>
          <w:szCs w:val="24"/>
        </w:rPr>
        <w:t>1.7.按照图纸要求加工套筒流量筒。钳工钻孔按零件CV值钻孔至图纸要求尺寸，去毛刺。</w:t>
      </w:r>
    </w:p>
    <w:p>
      <w:pPr>
        <w:spacing w:line="360" w:lineRule="auto"/>
        <w:rPr>
          <w:rFonts w:ascii="宋体" w:hAnsi="宋体"/>
          <w:sz w:val="24"/>
          <w:szCs w:val="24"/>
        </w:rPr>
      </w:pPr>
      <w:r>
        <w:rPr>
          <w:rFonts w:hint="eastAsia" w:ascii="宋体" w:hAnsi="宋体"/>
          <w:sz w:val="24"/>
          <w:szCs w:val="24"/>
        </w:rPr>
        <w:t>1.8.上磨床精加工外圆，磨削精度达到图纸要求。</w:t>
      </w:r>
    </w:p>
    <w:p>
      <w:pPr>
        <w:spacing w:line="360" w:lineRule="auto"/>
        <w:rPr>
          <w:sz w:val="24"/>
          <w:szCs w:val="24"/>
        </w:rPr>
      </w:pPr>
      <w:r>
        <w:rPr>
          <w:rFonts w:hint="eastAsia" w:ascii="宋体" w:hAnsi="宋体"/>
          <w:sz w:val="24"/>
          <w:szCs w:val="24"/>
        </w:rPr>
        <w:t>1.9.研磨密封面，密封面硬度检验、着色探伤符合规定要求</w:t>
      </w:r>
      <w:r>
        <w:rPr>
          <w:rFonts w:hint="eastAsia"/>
          <w:sz w:val="24"/>
          <w:szCs w:val="24"/>
        </w:rPr>
        <w:t>。</w:t>
      </w:r>
    </w:p>
    <w:p>
      <w:pPr>
        <w:pStyle w:val="2"/>
        <w:ind w:left="0" w:firstLine="0" w:firstLineChars="0"/>
      </w:pPr>
      <w:r>
        <w:rPr>
          <w:rFonts w:hint="eastAsia"/>
          <w:sz w:val="24"/>
          <w:szCs w:val="24"/>
        </w:rPr>
        <w:t>1.10按照技术要求检验阀内件，出具相关报告。</w:t>
      </w:r>
    </w:p>
    <w:p>
      <w:pPr>
        <w:spacing w:line="360" w:lineRule="auto"/>
        <w:rPr>
          <w:rFonts w:ascii="宋体" w:hAnsi="宋体"/>
          <w:b/>
          <w:bCs/>
          <w:sz w:val="24"/>
          <w:szCs w:val="24"/>
        </w:rPr>
      </w:pPr>
      <w:r>
        <w:rPr>
          <w:rFonts w:hint="eastAsia" w:ascii="宋体" w:hAnsi="宋体"/>
          <w:b/>
          <w:bCs/>
          <w:sz w:val="24"/>
          <w:szCs w:val="24"/>
        </w:rPr>
        <w:t xml:space="preserve">2. </w:t>
      </w:r>
      <w:r>
        <w:rPr>
          <w:rFonts w:hint="eastAsia" w:ascii="宋体" w:hAnsi="宋体"/>
          <w:b/>
          <w:bCs/>
          <w:sz w:val="24"/>
        </w:rPr>
        <w:t>减温水阀门阀芯</w:t>
      </w:r>
      <w:r>
        <w:rPr>
          <w:rFonts w:hint="eastAsia" w:ascii="宋体" w:hAnsi="宋体"/>
          <w:b/>
          <w:bCs/>
          <w:sz w:val="24"/>
          <w:lang w:eastAsia="zh-CN"/>
        </w:rPr>
        <w:t>加工</w:t>
      </w:r>
      <w:r>
        <w:rPr>
          <w:rFonts w:hint="eastAsia" w:ascii="宋体" w:hAnsi="宋体"/>
          <w:b/>
          <w:bCs/>
          <w:sz w:val="24"/>
          <w:szCs w:val="24"/>
        </w:rPr>
        <w:t>的技术要求：</w:t>
      </w:r>
    </w:p>
    <w:p>
      <w:pPr>
        <w:spacing w:line="360" w:lineRule="auto"/>
        <w:rPr>
          <w:rFonts w:hint="eastAsia" w:ascii="宋体" w:hAnsi="宋体"/>
          <w:sz w:val="24"/>
          <w:szCs w:val="24"/>
        </w:rPr>
      </w:pPr>
      <w:r>
        <w:rPr>
          <w:rFonts w:hint="eastAsia" w:ascii="宋体" w:hAnsi="宋体"/>
          <w:sz w:val="24"/>
          <w:szCs w:val="24"/>
        </w:rPr>
        <w:t>2.1准备阀杆原材料2Cr13，满足询价方尺寸要求。</w:t>
      </w:r>
    </w:p>
    <w:p>
      <w:pPr>
        <w:spacing w:line="360" w:lineRule="auto"/>
        <w:rPr>
          <w:rFonts w:hint="eastAsia" w:ascii="宋体" w:hAnsi="宋体"/>
          <w:sz w:val="24"/>
          <w:szCs w:val="24"/>
        </w:rPr>
      </w:pPr>
      <w:r>
        <w:rPr>
          <w:rFonts w:hint="eastAsia" w:ascii="宋体" w:hAnsi="宋体"/>
          <w:sz w:val="24"/>
          <w:szCs w:val="24"/>
        </w:rPr>
        <w:t>2.2制作毛坯料，粗加工至图纸尺寸，各留加工余量3毫米。</w:t>
      </w:r>
    </w:p>
    <w:p>
      <w:pPr>
        <w:spacing w:line="360" w:lineRule="auto"/>
        <w:rPr>
          <w:rFonts w:hint="eastAsia" w:ascii="宋体" w:hAnsi="宋体"/>
          <w:sz w:val="24"/>
          <w:szCs w:val="24"/>
        </w:rPr>
      </w:pPr>
      <w:r>
        <w:rPr>
          <w:rFonts w:hint="eastAsia" w:ascii="宋体" w:hAnsi="宋体"/>
          <w:sz w:val="24"/>
          <w:szCs w:val="24"/>
        </w:rPr>
        <w:t>2.3.热处理阀芯材料，首先淬火温度达到1050℃后。温度降至650℃回火调制处理。</w:t>
      </w:r>
    </w:p>
    <w:p>
      <w:pPr>
        <w:spacing w:line="360" w:lineRule="auto"/>
        <w:rPr>
          <w:rFonts w:hint="eastAsia" w:ascii="宋体" w:hAnsi="宋体"/>
          <w:sz w:val="24"/>
          <w:szCs w:val="24"/>
        </w:rPr>
      </w:pPr>
      <w:r>
        <w:rPr>
          <w:rFonts w:hint="eastAsia" w:ascii="宋体" w:hAnsi="宋体"/>
          <w:sz w:val="24"/>
          <w:szCs w:val="24"/>
        </w:rPr>
        <w:t>2.4.车床加工，留半精车余量1mm。</w:t>
      </w:r>
    </w:p>
    <w:p>
      <w:pPr>
        <w:spacing w:line="360" w:lineRule="auto"/>
        <w:rPr>
          <w:rFonts w:hint="eastAsia" w:ascii="宋体" w:hAnsi="宋体"/>
          <w:sz w:val="24"/>
          <w:szCs w:val="24"/>
        </w:rPr>
      </w:pPr>
      <w:r>
        <w:rPr>
          <w:rFonts w:hint="eastAsia" w:ascii="宋体" w:hAnsi="宋体"/>
          <w:sz w:val="24"/>
          <w:szCs w:val="24"/>
        </w:rPr>
        <w:t>2.5.堆焊硬质合金材料：工艺要求ST≥HRC38-42，焊后做焊接热处理消除焊接应力。</w:t>
      </w:r>
    </w:p>
    <w:p>
      <w:pPr>
        <w:spacing w:line="360" w:lineRule="auto"/>
        <w:rPr>
          <w:rFonts w:ascii="宋体" w:hAnsi="宋体"/>
          <w:sz w:val="24"/>
          <w:szCs w:val="24"/>
        </w:rPr>
      </w:pPr>
      <w:r>
        <w:rPr>
          <w:rFonts w:hint="eastAsia" w:ascii="宋体" w:hAnsi="宋体"/>
          <w:sz w:val="24"/>
          <w:szCs w:val="24"/>
        </w:rPr>
        <w:t>2.6.数控车床加工，按图纸要求达到技术要求。</w:t>
      </w:r>
    </w:p>
    <w:p>
      <w:pPr>
        <w:spacing w:line="360" w:lineRule="auto"/>
        <w:rPr>
          <w:rFonts w:ascii="宋体" w:hAnsi="宋体"/>
          <w:sz w:val="24"/>
          <w:szCs w:val="24"/>
        </w:rPr>
      </w:pPr>
      <w:r>
        <w:rPr>
          <w:rFonts w:hint="eastAsia" w:ascii="宋体" w:hAnsi="宋体"/>
          <w:sz w:val="24"/>
          <w:szCs w:val="24"/>
        </w:rPr>
        <w:t>2.7.上磨床精加工外圆，磨削精度达到图纸要求。</w:t>
      </w:r>
    </w:p>
    <w:p>
      <w:pPr>
        <w:spacing w:line="360" w:lineRule="auto"/>
      </w:pPr>
      <w:r>
        <w:rPr>
          <w:rFonts w:hint="eastAsia" w:ascii="宋体" w:hAnsi="宋体"/>
          <w:sz w:val="24"/>
          <w:szCs w:val="24"/>
        </w:rPr>
        <w:t>2.8.研磨密封面，密封面硬度检验、着色探伤符合规定要求</w:t>
      </w:r>
      <w:r>
        <w:rPr>
          <w:rFonts w:hint="eastAsia"/>
          <w:sz w:val="24"/>
          <w:szCs w:val="24"/>
        </w:rPr>
        <w:t>。</w:t>
      </w:r>
    </w:p>
    <w:p>
      <w:pPr>
        <w:spacing w:line="360" w:lineRule="auto"/>
        <w:rPr>
          <w:rFonts w:ascii="黑体" w:hAnsi="黑体" w:eastAsia="黑体" w:cs="Times New Roman"/>
          <w:b/>
          <w:sz w:val="28"/>
          <w:szCs w:val="24"/>
        </w:rPr>
      </w:pPr>
      <w:r>
        <w:rPr>
          <w:rFonts w:hint="eastAsia" w:ascii="黑体" w:hAnsi="黑体" w:eastAsia="黑体" w:cs="Times New Roman"/>
          <w:b/>
          <w:sz w:val="28"/>
          <w:szCs w:val="24"/>
        </w:rPr>
        <w:t>三、施工服务</w:t>
      </w:r>
    </w:p>
    <w:p>
      <w:pPr>
        <w:spacing w:line="360" w:lineRule="auto"/>
        <w:rPr>
          <w:rFonts w:ascii="宋体" w:hAnsi="宋体"/>
          <w:sz w:val="24"/>
          <w:szCs w:val="24"/>
        </w:rPr>
      </w:pPr>
      <w:r>
        <w:rPr>
          <w:rFonts w:hint="eastAsia" w:ascii="宋体" w:hAnsi="宋体"/>
          <w:sz w:val="24"/>
          <w:szCs w:val="24"/>
        </w:rPr>
        <w:t>1.符合下阀杆及阀芯原设计的各项性能指标要求，加工后使用不发生渗漏缺陷。</w:t>
      </w:r>
    </w:p>
    <w:p>
      <w:pPr>
        <w:spacing w:line="360" w:lineRule="auto"/>
        <w:rPr>
          <w:rFonts w:ascii="宋体" w:hAnsi="宋体"/>
          <w:sz w:val="24"/>
          <w:szCs w:val="24"/>
        </w:rPr>
      </w:pPr>
      <w:r>
        <w:rPr>
          <w:rFonts w:hint="eastAsia" w:ascii="宋体" w:hAnsi="宋体"/>
          <w:sz w:val="24"/>
          <w:szCs w:val="24"/>
        </w:rPr>
        <w:t>2.制作材料、规格、焊接质量符合技术要求，并带有材质检验报告。</w:t>
      </w:r>
    </w:p>
    <w:p>
      <w:pPr>
        <w:spacing w:line="360" w:lineRule="auto"/>
        <w:rPr>
          <w:rFonts w:cs="Times New Roman" w:asciiTheme="minorEastAsia" w:hAnsiTheme="minorEastAsia"/>
          <w:sz w:val="24"/>
          <w:szCs w:val="24"/>
        </w:rPr>
      </w:pPr>
      <w:r>
        <w:rPr>
          <w:rFonts w:hint="eastAsia" w:ascii="宋体" w:hAnsi="宋体"/>
          <w:sz w:val="24"/>
          <w:szCs w:val="24"/>
        </w:rPr>
        <w:t>3.加工件无缺陷，装卸车无碰撞。</w:t>
      </w:r>
    </w:p>
    <w:p>
      <w:pPr>
        <w:spacing w:line="360" w:lineRule="auto"/>
        <w:rPr>
          <w:rFonts w:ascii="黑体" w:hAnsi="黑体" w:eastAsia="黑体" w:cs="Times New Roman"/>
          <w:b/>
          <w:sz w:val="28"/>
          <w:szCs w:val="24"/>
        </w:rPr>
      </w:pPr>
      <w:r>
        <w:rPr>
          <w:rFonts w:hint="eastAsia" w:ascii="黑体" w:hAnsi="黑体" w:eastAsia="黑体" w:cs="Times New Roman"/>
          <w:b/>
          <w:sz w:val="28"/>
          <w:szCs w:val="24"/>
        </w:rPr>
        <w:t>四、质保期服务要求</w:t>
      </w:r>
    </w:p>
    <w:p>
      <w:pPr>
        <w:autoSpaceDE w:val="0"/>
        <w:autoSpaceDN w:val="0"/>
        <w:adjustRightInd w:val="0"/>
        <w:spacing w:line="360" w:lineRule="auto"/>
        <w:ind w:right="-6" w:firstLine="480" w:firstLineChars="200"/>
        <w:rPr>
          <w:rFonts w:asciiTheme="minorEastAsia" w:hAnsiTheme="minorEastAsia" w:eastAsiaTheme="minorEastAsia" w:cstheme="minorEastAsia"/>
          <w:bCs/>
          <w:kern w:val="24"/>
          <w:sz w:val="24"/>
          <w:szCs w:val="24"/>
        </w:rPr>
      </w:pPr>
      <w:r>
        <w:rPr>
          <w:rFonts w:hint="eastAsia" w:asciiTheme="minorEastAsia" w:hAnsiTheme="minorEastAsia" w:eastAsiaTheme="minorEastAsia" w:cstheme="minorEastAsia"/>
          <w:bCs/>
          <w:kern w:val="24"/>
          <w:sz w:val="24"/>
          <w:szCs w:val="24"/>
        </w:rPr>
        <w:t>本工程质保期为1年。质保期内发生的质量问题由报价方免费负责处理。</w:t>
      </w:r>
    </w:p>
    <w:p>
      <w:pPr>
        <w:pStyle w:val="2"/>
        <w:ind w:left="0" w:firstLine="0" w:firstLineChars="0"/>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r>
        <w:rPr>
          <w:rFonts w:hint="eastAsia"/>
        </w:rPr>
        <w:drawing>
          <wp:inline distT="0" distB="0" distL="114300" distR="114300">
            <wp:extent cx="5268595" cy="3545205"/>
            <wp:effectExtent l="0" t="0" r="8255" b="17145"/>
            <wp:docPr id="1" name="图片 1" descr="1676858628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6858628450"/>
                    <pic:cNvPicPr>
                      <a:picLocks noChangeAspect="1"/>
                    </pic:cNvPicPr>
                  </pic:nvPicPr>
                  <pic:blipFill>
                    <a:blip r:embed="rId7" cstate="print"/>
                    <a:stretch>
                      <a:fillRect/>
                    </a:stretch>
                  </pic:blipFill>
                  <pic:spPr>
                    <a:xfrm>
                      <a:off x="0" y="0"/>
                      <a:ext cx="5268595" cy="3545205"/>
                    </a:xfrm>
                    <a:prstGeom prst="rect">
                      <a:avLst/>
                    </a:prstGeom>
                  </pic:spPr>
                </pic:pic>
              </a:graphicData>
            </a:graphic>
          </wp:inline>
        </w:drawing>
      </w:r>
    </w:p>
    <w:p/>
    <w:p>
      <w:pPr>
        <w:pStyle w:val="2"/>
      </w:pPr>
    </w:p>
    <w:p/>
    <w:p>
      <w:pPr>
        <w:pStyle w:val="2"/>
      </w:pPr>
    </w:p>
    <w:p/>
    <w:p>
      <w:pPr>
        <w:pStyle w:val="2"/>
      </w:pPr>
    </w:p>
    <w:p/>
    <w:p>
      <w:pPr>
        <w:pStyle w:val="2"/>
      </w:pPr>
    </w:p>
    <w:p/>
    <w:p>
      <w:pPr>
        <w:pStyle w:val="2"/>
      </w:pPr>
    </w:p>
    <w:p/>
    <w:p>
      <w:pPr>
        <w:pStyle w:val="2"/>
      </w:pPr>
    </w:p>
    <w:p>
      <w:r>
        <w:rPr>
          <w:rFonts w:hint="eastAsia"/>
        </w:rPr>
        <w:drawing>
          <wp:inline distT="0" distB="0" distL="114300" distR="114300">
            <wp:extent cx="5262245" cy="3692525"/>
            <wp:effectExtent l="0" t="0" r="14605" b="3175"/>
            <wp:docPr id="4" name="图片 4" descr="1676858375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6858375748"/>
                    <pic:cNvPicPr>
                      <a:picLocks noChangeAspect="1"/>
                    </pic:cNvPicPr>
                  </pic:nvPicPr>
                  <pic:blipFill>
                    <a:blip r:embed="rId8" cstate="print"/>
                    <a:stretch>
                      <a:fillRect/>
                    </a:stretch>
                  </pic:blipFill>
                  <pic:spPr>
                    <a:xfrm>
                      <a:off x="0" y="0"/>
                      <a:ext cx="5262245" cy="3692525"/>
                    </a:xfrm>
                    <a:prstGeom prst="rect">
                      <a:avLst/>
                    </a:prstGeom>
                  </pic:spPr>
                </pic:pic>
              </a:graphicData>
            </a:graphic>
          </wp:inline>
        </w:drawing>
      </w:r>
    </w:p>
    <w:p>
      <w:pPr>
        <w:pStyle w:val="2"/>
      </w:pPr>
    </w:p>
    <w:p/>
    <w:p>
      <w:pPr>
        <w:pStyle w:val="2"/>
        <w:ind w:left="0" w:firstLine="0" w:firstLineChars="0"/>
      </w:pPr>
    </w:p>
    <w:sectPr>
      <w:footerReference r:id="rId3" w:type="default"/>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
      <w:suff w:val="nothing"/>
      <w:lvlText w:val="%1.%2　"/>
      <w:lvlJc w:val="left"/>
      <w:pPr>
        <w:ind w:left="315"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2"/>
      <w:suff w:val="nothing"/>
      <w:lvlText w:val="%1.%2.%3　"/>
      <w:lvlJc w:val="left"/>
      <w:pPr>
        <w:ind w:left="630" w:firstLine="0"/>
      </w:pPr>
      <w:rPr>
        <w:rFonts w:hint="eastAsia" w:ascii="黑体" w:hAnsi="Times New Roman" w:eastAsia="黑体"/>
        <w:b w:val="0"/>
        <w:i w:val="0"/>
        <w:sz w:val="21"/>
      </w:rPr>
    </w:lvl>
    <w:lvl w:ilvl="3" w:tentative="0">
      <w:start w:val="1"/>
      <w:numFmt w:val="decimal"/>
      <w:suff w:val="nothing"/>
      <w:lvlText w:val="%1.%2.%3.%4　"/>
      <w:lvlJc w:val="left"/>
      <w:pPr>
        <w:ind w:left="105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embedSystemFonts/>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RiMTFhZjU1MzE2YTA2NWY5NzkyOWE2MTIxNGRlNjkifQ=="/>
  </w:docVars>
  <w:rsids>
    <w:rsidRoot w:val="78203DBB"/>
    <w:rsid w:val="00003C06"/>
    <w:rsid w:val="00037BE3"/>
    <w:rsid w:val="000435D2"/>
    <w:rsid w:val="000446D4"/>
    <w:rsid w:val="00055301"/>
    <w:rsid w:val="000740DC"/>
    <w:rsid w:val="000863F2"/>
    <w:rsid w:val="00094F26"/>
    <w:rsid w:val="000964E1"/>
    <w:rsid w:val="000B79D8"/>
    <w:rsid w:val="000C14F1"/>
    <w:rsid w:val="000C7CC4"/>
    <w:rsid w:val="000D07D3"/>
    <w:rsid w:val="000D7926"/>
    <w:rsid w:val="000E35A1"/>
    <w:rsid w:val="00111749"/>
    <w:rsid w:val="001134B5"/>
    <w:rsid w:val="00113801"/>
    <w:rsid w:val="00130E75"/>
    <w:rsid w:val="00143E05"/>
    <w:rsid w:val="00145D5F"/>
    <w:rsid w:val="001521F3"/>
    <w:rsid w:val="00156878"/>
    <w:rsid w:val="0016346D"/>
    <w:rsid w:val="00166441"/>
    <w:rsid w:val="0017150E"/>
    <w:rsid w:val="00171D36"/>
    <w:rsid w:val="001A06F0"/>
    <w:rsid w:val="001A7685"/>
    <w:rsid w:val="001B39F6"/>
    <w:rsid w:val="001B3CBC"/>
    <w:rsid w:val="001C0DB9"/>
    <w:rsid w:val="001C256A"/>
    <w:rsid w:val="001C5571"/>
    <w:rsid w:val="001E2884"/>
    <w:rsid w:val="001F2AF7"/>
    <w:rsid w:val="002009D9"/>
    <w:rsid w:val="00206B17"/>
    <w:rsid w:val="0022356D"/>
    <w:rsid w:val="00236930"/>
    <w:rsid w:val="002416F2"/>
    <w:rsid w:val="002479A8"/>
    <w:rsid w:val="0025052B"/>
    <w:rsid w:val="00251979"/>
    <w:rsid w:val="00253D08"/>
    <w:rsid w:val="002B2B80"/>
    <w:rsid w:val="002B4CE4"/>
    <w:rsid w:val="002C193E"/>
    <w:rsid w:val="002C7D29"/>
    <w:rsid w:val="002D5818"/>
    <w:rsid w:val="002D7FCE"/>
    <w:rsid w:val="002E36AF"/>
    <w:rsid w:val="002F671D"/>
    <w:rsid w:val="0030340A"/>
    <w:rsid w:val="00304397"/>
    <w:rsid w:val="00307FCA"/>
    <w:rsid w:val="003332E2"/>
    <w:rsid w:val="003454B3"/>
    <w:rsid w:val="003528BC"/>
    <w:rsid w:val="00370AB1"/>
    <w:rsid w:val="003745B3"/>
    <w:rsid w:val="00385852"/>
    <w:rsid w:val="00395CE2"/>
    <w:rsid w:val="003A7B09"/>
    <w:rsid w:val="003B421D"/>
    <w:rsid w:val="003B6248"/>
    <w:rsid w:val="003C6C38"/>
    <w:rsid w:val="003D39F2"/>
    <w:rsid w:val="003E0007"/>
    <w:rsid w:val="003E4F84"/>
    <w:rsid w:val="003F55F3"/>
    <w:rsid w:val="004017D8"/>
    <w:rsid w:val="00402554"/>
    <w:rsid w:val="004079BE"/>
    <w:rsid w:val="00416565"/>
    <w:rsid w:val="004206EA"/>
    <w:rsid w:val="00430D19"/>
    <w:rsid w:val="0043137E"/>
    <w:rsid w:val="004375AB"/>
    <w:rsid w:val="004426D9"/>
    <w:rsid w:val="00447508"/>
    <w:rsid w:val="00447E0A"/>
    <w:rsid w:val="004578AF"/>
    <w:rsid w:val="004618F7"/>
    <w:rsid w:val="004673D0"/>
    <w:rsid w:val="00484BFB"/>
    <w:rsid w:val="004A51DF"/>
    <w:rsid w:val="004A5EB1"/>
    <w:rsid w:val="004B1E62"/>
    <w:rsid w:val="004B4523"/>
    <w:rsid w:val="004B6950"/>
    <w:rsid w:val="004E2AE5"/>
    <w:rsid w:val="004E7F6A"/>
    <w:rsid w:val="00511711"/>
    <w:rsid w:val="005131AC"/>
    <w:rsid w:val="00521FFF"/>
    <w:rsid w:val="00522B3B"/>
    <w:rsid w:val="00526FF3"/>
    <w:rsid w:val="00535E4B"/>
    <w:rsid w:val="00546A08"/>
    <w:rsid w:val="00552D31"/>
    <w:rsid w:val="0056518A"/>
    <w:rsid w:val="00573297"/>
    <w:rsid w:val="00587AA7"/>
    <w:rsid w:val="005923DE"/>
    <w:rsid w:val="00593723"/>
    <w:rsid w:val="00594E11"/>
    <w:rsid w:val="005952A1"/>
    <w:rsid w:val="005A01A0"/>
    <w:rsid w:val="005A0A47"/>
    <w:rsid w:val="005B2C61"/>
    <w:rsid w:val="005B362B"/>
    <w:rsid w:val="005B6E52"/>
    <w:rsid w:val="005C59B0"/>
    <w:rsid w:val="005C5D57"/>
    <w:rsid w:val="005D2E2E"/>
    <w:rsid w:val="005D3042"/>
    <w:rsid w:val="005D4B05"/>
    <w:rsid w:val="005E3B16"/>
    <w:rsid w:val="005E6884"/>
    <w:rsid w:val="00602F0B"/>
    <w:rsid w:val="00617871"/>
    <w:rsid w:val="00644574"/>
    <w:rsid w:val="0066060F"/>
    <w:rsid w:val="0066400D"/>
    <w:rsid w:val="00684578"/>
    <w:rsid w:val="006A2A0E"/>
    <w:rsid w:val="006B46D3"/>
    <w:rsid w:val="006C3F56"/>
    <w:rsid w:val="006C62DC"/>
    <w:rsid w:val="006C7CCE"/>
    <w:rsid w:val="006D156B"/>
    <w:rsid w:val="006E24DC"/>
    <w:rsid w:val="006E27FC"/>
    <w:rsid w:val="006F0E6F"/>
    <w:rsid w:val="006F4B75"/>
    <w:rsid w:val="00712F1E"/>
    <w:rsid w:val="007158A0"/>
    <w:rsid w:val="00717CED"/>
    <w:rsid w:val="00733B6F"/>
    <w:rsid w:val="0074641C"/>
    <w:rsid w:val="00772C0B"/>
    <w:rsid w:val="00776477"/>
    <w:rsid w:val="007851A9"/>
    <w:rsid w:val="007856B9"/>
    <w:rsid w:val="00791E90"/>
    <w:rsid w:val="00793519"/>
    <w:rsid w:val="0079390E"/>
    <w:rsid w:val="007A305D"/>
    <w:rsid w:val="007B48CB"/>
    <w:rsid w:val="007B57A5"/>
    <w:rsid w:val="007C07B5"/>
    <w:rsid w:val="007D0771"/>
    <w:rsid w:val="007E0B8C"/>
    <w:rsid w:val="00812DE0"/>
    <w:rsid w:val="008142C7"/>
    <w:rsid w:val="008454C8"/>
    <w:rsid w:val="00846845"/>
    <w:rsid w:val="008472A8"/>
    <w:rsid w:val="008519CD"/>
    <w:rsid w:val="00856752"/>
    <w:rsid w:val="00857E7D"/>
    <w:rsid w:val="00877B08"/>
    <w:rsid w:val="008B1491"/>
    <w:rsid w:val="008B2F10"/>
    <w:rsid w:val="008B4254"/>
    <w:rsid w:val="008D1894"/>
    <w:rsid w:val="008D343F"/>
    <w:rsid w:val="008D5D15"/>
    <w:rsid w:val="008E16AA"/>
    <w:rsid w:val="008E1BFF"/>
    <w:rsid w:val="008E26FB"/>
    <w:rsid w:val="008F43A5"/>
    <w:rsid w:val="009018B2"/>
    <w:rsid w:val="009031F2"/>
    <w:rsid w:val="0090630D"/>
    <w:rsid w:val="009101A5"/>
    <w:rsid w:val="00923D31"/>
    <w:rsid w:val="00930F2B"/>
    <w:rsid w:val="00934E7E"/>
    <w:rsid w:val="009363D6"/>
    <w:rsid w:val="0094075D"/>
    <w:rsid w:val="00941FFA"/>
    <w:rsid w:val="00945181"/>
    <w:rsid w:val="00947328"/>
    <w:rsid w:val="009551A2"/>
    <w:rsid w:val="00956553"/>
    <w:rsid w:val="00966899"/>
    <w:rsid w:val="009723DF"/>
    <w:rsid w:val="0097611C"/>
    <w:rsid w:val="009779EF"/>
    <w:rsid w:val="00977BC9"/>
    <w:rsid w:val="009809E8"/>
    <w:rsid w:val="00982138"/>
    <w:rsid w:val="00987573"/>
    <w:rsid w:val="00997DD4"/>
    <w:rsid w:val="009B1B5A"/>
    <w:rsid w:val="009B5939"/>
    <w:rsid w:val="009C74EA"/>
    <w:rsid w:val="009D6F23"/>
    <w:rsid w:val="009D7A87"/>
    <w:rsid w:val="009E13E1"/>
    <w:rsid w:val="009F2E82"/>
    <w:rsid w:val="009F6EE2"/>
    <w:rsid w:val="00A00588"/>
    <w:rsid w:val="00A12162"/>
    <w:rsid w:val="00A2371F"/>
    <w:rsid w:val="00A4097D"/>
    <w:rsid w:val="00A437A4"/>
    <w:rsid w:val="00A5639A"/>
    <w:rsid w:val="00A6577C"/>
    <w:rsid w:val="00A738B9"/>
    <w:rsid w:val="00A76ADF"/>
    <w:rsid w:val="00A83084"/>
    <w:rsid w:val="00A91F33"/>
    <w:rsid w:val="00A94EE0"/>
    <w:rsid w:val="00AB1703"/>
    <w:rsid w:val="00AC6A41"/>
    <w:rsid w:val="00AD1F66"/>
    <w:rsid w:val="00AD4A7C"/>
    <w:rsid w:val="00AE0B0B"/>
    <w:rsid w:val="00AF484B"/>
    <w:rsid w:val="00AF5571"/>
    <w:rsid w:val="00B10600"/>
    <w:rsid w:val="00B14AB9"/>
    <w:rsid w:val="00B17877"/>
    <w:rsid w:val="00B24619"/>
    <w:rsid w:val="00B27983"/>
    <w:rsid w:val="00B34885"/>
    <w:rsid w:val="00B37911"/>
    <w:rsid w:val="00B576B3"/>
    <w:rsid w:val="00B6102E"/>
    <w:rsid w:val="00B75930"/>
    <w:rsid w:val="00B8131E"/>
    <w:rsid w:val="00B86E10"/>
    <w:rsid w:val="00B8733E"/>
    <w:rsid w:val="00BA214C"/>
    <w:rsid w:val="00BA3F94"/>
    <w:rsid w:val="00BC16D1"/>
    <w:rsid w:val="00BE4A2B"/>
    <w:rsid w:val="00BF6D64"/>
    <w:rsid w:val="00C030DF"/>
    <w:rsid w:val="00C15310"/>
    <w:rsid w:val="00C34B18"/>
    <w:rsid w:val="00C460CE"/>
    <w:rsid w:val="00C53CAA"/>
    <w:rsid w:val="00C73A62"/>
    <w:rsid w:val="00C774A2"/>
    <w:rsid w:val="00C82C47"/>
    <w:rsid w:val="00C8351D"/>
    <w:rsid w:val="00CA04FC"/>
    <w:rsid w:val="00CA48F0"/>
    <w:rsid w:val="00CA74E7"/>
    <w:rsid w:val="00CB4862"/>
    <w:rsid w:val="00CB7E7B"/>
    <w:rsid w:val="00CD640E"/>
    <w:rsid w:val="00CE5DAF"/>
    <w:rsid w:val="00CE60BF"/>
    <w:rsid w:val="00CE62A5"/>
    <w:rsid w:val="00CE64DC"/>
    <w:rsid w:val="00CF65C2"/>
    <w:rsid w:val="00D03DE4"/>
    <w:rsid w:val="00D045A2"/>
    <w:rsid w:val="00D10819"/>
    <w:rsid w:val="00D143B2"/>
    <w:rsid w:val="00D4223E"/>
    <w:rsid w:val="00D475D8"/>
    <w:rsid w:val="00D518B7"/>
    <w:rsid w:val="00D52D00"/>
    <w:rsid w:val="00D6294F"/>
    <w:rsid w:val="00D65AD3"/>
    <w:rsid w:val="00D71C07"/>
    <w:rsid w:val="00D866CE"/>
    <w:rsid w:val="00D8722F"/>
    <w:rsid w:val="00D90779"/>
    <w:rsid w:val="00D91535"/>
    <w:rsid w:val="00D91D2A"/>
    <w:rsid w:val="00D97CD0"/>
    <w:rsid w:val="00DB7A70"/>
    <w:rsid w:val="00DC0A7D"/>
    <w:rsid w:val="00DD7D9D"/>
    <w:rsid w:val="00DE40D7"/>
    <w:rsid w:val="00DE527B"/>
    <w:rsid w:val="00DE6CE6"/>
    <w:rsid w:val="00DE6D99"/>
    <w:rsid w:val="00DF47FB"/>
    <w:rsid w:val="00E0471C"/>
    <w:rsid w:val="00E1334D"/>
    <w:rsid w:val="00E149D3"/>
    <w:rsid w:val="00E311F9"/>
    <w:rsid w:val="00E43656"/>
    <w:rsid w:val="00E521B6"/>
    <w:rsid w:val="00E648C9"/>
    <w:rsid w:val="00E654C3"/>
    <w:rsid w:val="00E71686"/>
    <w:rsid w:val="00E7480F"/>
    <w:rsid w:val="00E759E8"/>
    <w:rsid w:val="00E83137"/>
    <w:rsid w:val="00E90649"/>
    <w:rsid w:val="00EA5094"/>
    <w:rsid w:val="00EB1A29"/>
    <w:rsid w:val="00EB53AD"/>
    <w:rsid w:val="00EC0B0D"/>
    <w:rsid w:val="00EC6E71"/>
    <w:rsid w:val="00ED506A"/>
    <w:rsid w:val="00ED59FD"/>
    <w:rsid w:val="00F1186E"/>
    <w:rsid w:val="00F124A2"/>
    <w:rsid w:val="00F43A4E"/>
    <w:rsid w:val="00F52B5D"/>
    <w:rsid w:val="00F6292E"/>
    <w:rsid w:val="00F67C60"/>
    <w:rsid w:val="00F7649A"/>
    <w:rsid w:val="00F91B73"/>
    <w:rsid w:val="00F92EA5"/>
    <w:rsid w:val="00F93284"/>
    <w:rsid w:val="00FA13A8"/>
    <w:rsid w:val="00FA2408"/>
    <w:rsid w:val="00FA6E43"/>
    <w:rsid w:val="00FB471A"/>
    <w:rsid w:val="00FB53C0"/>
    <w:rsid w:val="00FB7D6E"/>
    <w:rsid w:val="00FD4090"/>
    <w:rsid w:val="00FE271E"/>
    <w:rsid w:val="00FE3DE3"/>
    <w:rsid w:val="06674B89"/>
    <w:rsid w:val="0689210B"/>
    <w:rsid w:val="07004FCB"/>
    <w:rsid w:val="08786FC1"/>
    <w:rsid w:val="09957BA9"/>
    <w:rsid w:val="0AE21B80"/>
    <w:rsid w:val="0C1F3ED9"/>
    <w:rsid w:val="0E49537B"/>
    <w:rsid w:val="138B29A0"/>
    <w:rsid w:val="158308E8"/>
    <w:rsid w:val="1AD65D3D"/>
    <w:rsid w:val="1B37255E"/>
    <w:rsid w:val="1C821675"/>
    <w:rsid w:val="1E0367BC"/>
    <w:rsid w:val="1E7C37F3"/>
    <w:rsid w:val="212061AA"/>
    <w:rsid w:val="221B4754"/>
    <w:rsid w:val="22312C75"/>
    <w:rsid w:val="23056708"/>
    <w:rsid w:val="23686F39"/>
    <w:rsid w:val="23BC592A"/>
    <w:rsid w:val="28660480"/>
    <w:rsid w:val="28B817B3"/>
    <w:rsid w:val="2B8F7AAE"/>
    <w:rsid w:val="2C015CF4"/>
    <w:rsid w:val="2EF504A8"/>
    <w:rsid w:val="36500BDE"/>
    <w:rsid w:val="377059F2"/>
    <w:rsid w:val="3D6133E3"/>
    <w:rsid w:val="3ED64736"/>
    <w:rsid w:val="405016DC"/>
    <w:rsid w:val="40A64347"/>
    <w:rsid w:val="40D415FA"/>
    <w:rsid w:val="418142C0"/>
    <w:rsid w:val="41EA6C68"/>
    <w:rsid w:val="43C1290D"/>
    <w:rsid w:val="44166ECF"/>
    <w:rsid w:val="448264CD"/>
    <w:rsid w:val="448303E2"/>
    <w:rsid w:val="44C20B3B"/>
    <w:rsid w:val="44DA62A8"/>
    <w:rsid w:val="45EF5E24"/>
    <w:rsid w:val="46C91536"/>
    <w:rsid w:val="47A469C0"/>
    <w:rsid w:val="482F73D3"/>
    <w:rsid w:val="48945872"/>
    <w:rsid w:val="49745F6B"/>
    <w:rsid w:val="4A5C3B2F"/>
    <w:rsid w:val="51ED11C5"/>
    <w:rsid w:val="523E4C02"/>
    <w:rsid w:val="52842324"/>
    <w:rsid w:val="53E45419"/>
    <w:rsid w:val="54AF4A64"/>
    <w:rsid w:val="57CB3776"/>
    <w:rsid w:val="58D4636F"/>
    <w:rsid w:val="5A9E319A"/>
    <w:rsid w:val="5B7B4DDA"/>
    <w:rsid w:val="5ED16D42"/>
    <w:rsid w:val="5F0F341E"/>
    <w:rsid w:val="6235708F"/>
    <w:rsid w:val="632E279F"/>
    <w:rsid w:val="65770FEE"/>
    <w:rsid w:val="65EA66CC"/>
    <w:rsid w:val="68275EDA"/>
    <w:rsid w:val="68AD28EB"/>
    <w:rsid w:val="6E981EB1"/>
    <w:rsid w:val="6EAB4180"/>
    <w:rsid w:val="70D5064D"/>
    <w:rsid w:val="71AD3DD1"/>
    <w:rsid w:val="727B4734"/>
    <w:rsid w:val="73326693"/>
    <w:rsid w:val="76D0469E"/>
    <w:rsid w:val="76EF5AB8"/>
    <w:rsid w:val="77A708CD"/>
    <w:rsid w:val="781C563C"/>
    <w:rsid w:val="78203DBB"/>
    <w:rsid w:val="786653AB"/>
    <w:rsid w:val="7B315ED6"/>
    <w:rsid w:val="7BFA20AA"/>
    <w:rsid w:val="7C680E05"/>
    <w:rsid w:val="7C7F53B6"/>
    <w:rsid w:val="7DC845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1"/>
    <w:basedOn w:val="1"/>
    <w:next w:val="1"/>
    <w:qFormat/>
    <w:uiPriority w:val="0"/>
    <w:pPr>
      <w:adjustRightInd w:val="0"/>
      <w:spacing w:line="410" w:lineRule="atLeast"/>
      <w:ind w:left="482" w:firstLine="420" w:firstLineChars="150"/>
      <w:jc w:val="left"/>
    </w:pPr>
    <w:rPr>
      <w:rFonts w:ascii="宋体" w:hAnsi="宋体" w:cs="Times New Roman"/>
      <w:kern w:val="0"/>
      <w:sz w:val="28"/>
      <w:szCs w:val="28"/>
    </w:rPr>
  </w:style>
  <w:style w:type="paragraph" w:styleId="4">
    <w:name w:val="Body Text"/>
    <w:basedOn w:val="1"/>
    <w:link w:val="18"/>
    <w:qFormat/>
    <w:uiPriority w:val="0"/>
    <w:pPr>
      <w:autoSpaceDE w:val="0"/>
      <w:autoSpaceDN w:val="0"/>
      <w:adjustRightInd w:val="0"/>
      <w:spacing w:line="360" w:lineRule="auto"/>
    </w:pPr>
    <w:rPr>
      <w:rFonts w:ascii="宋体" w:hAnsi="宋体" w:cs="Times New Roman"/>
      <w:kern w:val="0"/>
      <w:sz w:val="24"/>
      <w:szCs w:val="28"/>
      <w:lang w:val="zh-CN"/>
    </w:rPr>
  </w:style>
  <w:style w:type="paragraph" w:styleId="5">
    <w:name w:val="Body Text Indent"/>
    <w:basedOn w:val="1"/>
    <w:link w:val="20"/>
    <w:unhideWhenUsed/>
    <w:qFormat/>
    <w:uiPriority w:val="0"/>
    <w:pPr>
      <w:spacing w:after="120"/>
      <w:ind w:left="420" w:leftChars="200"/>
    </w:pPr>
  </w:style>
  <w:style w:type="paragraph" w:styleId="6">
    <w:name w:val="Balloon Text"/>
    <w:basedOn w:val="1"/>
    <w:link w:val="15"/>
    <w:qFormat/>
    <w:uiPriority w:val="0"/>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Autospacing="1" w:afterAutospacing="1"/>
      <w:jc w:val="left"/>
    </w:pPr>
    <w:rPr>
      <w:rFonts w:ascii="宋体" w:hAnsi="宋体" w:cs="Times New Roman"/>
      <w:kern w:val="0"/>
      <w:sz w:val="24"/>
      <w:szCs w:val="24"/>
    </w:rPr>
  </w:style>
  <w:style w:type="paragraph" w:styleId="10">
    <w:name w:val="Title"/>
    <w:basedOn w:val="1"/>
    <w:qFormat/>
    <w:uiPriority w:val="10"/>
    <w:pPr>
      <w:adjustRightInd w:val="0"/>
      <w:spacing w:before="240" w:after="60" w:line="360" w:lineRule="atLeast"/>
      <w:jc w:val="center"/>
      <w:outlineLvl w:val="0"/>
    </w:pPr>
    <w:rPr>
      <w:rFonts w:ascii="Arial" w:hAnsi="Arial" w:cs="Times New Roman"/>
      <w:b/>
      <w:kern w:val="0"/>
      <w:sz w:val="32"/>
      <w:szCs w:val="20"/>
      <w:lang w:val="zh-CN"/>
    </w:rPr>
  </w:style>
  <w:style w:type="table" w:styleId="13">
    <w:name w:val="Table Grid"/>
    <w:basedOn w:val="12"/>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No Spacing"/>
    <w:link w:val="19"/>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5">
    <w:name w:val="批注框文本 Char"/>
    <w:basedOn w:val="11"/>
    <w:link w:val="6"/>
    <w:qFormat/>
    <w:uiPriority w:val="0"/>
    <w:rPr>
      <w:rFonts w:ascii="Calibri" w:hAnsi="Calibri" w:cs="黑体"/>
      <w:kern w:val="2"/>
      <w:sz w:val="18"/>
      <w:szCs w:val="18"/>
    </w:rPr>
  </w:style>
  <w:style w:type="character" w:customStyle="1" w:styleId="16">
    <w:name w:val="页眉 Char"/>
    <w:basedOn w:val="11"/>
    <w:link w:val="8"/>
    <w:qFormat/>
    <w:uiPriority w:val="99"/>
    <w:rPr>
      <w:rFonts w:ascii="Calibri" w:hAnsi="Calibri" w:cs="黑体"/>
      <w:kern w:val="2"/>
      <w:sz w:val="18"/>
      <w:szCs w:val="18"/>
    </w:rPr>
  </w:style>
  <w:style w:type="paragraph" w:styleId="17">
    <w:name w:val="List Paragraph"/>
    <w:basedOn w:val="1"/>
    <w:qFormat/>
    <w:uiPriority w:val="34"/>
    <w:pPr>
      <w:ind w:firstLine="420" w:firstLineChars="200"/>
    </w:pPr>
    <w:rPr>
      <w:rFonts w:ascii="Times New Roman" w:hAnsi="Times New Roman" w:cs="Times New Roman"/>
      <w:szCs w:val="21"/>
    </w:rPr>
  </w:style>
  <w:style w:type="character" w:customStyle="1" w:styleId="18">
    <w:name w:val="正文文本 Char"/>
    <w:basedOn w:val="11"/>
    <w:link w:val="4"/>
    <w:qFormat/>
    <w:uiPriority w:val="0"/>
    <w:rPr>
      <w:rFonts w:ascii="宋体" w:hAnsi="宋体"/>
      <w:sz w:val="24"/>
      <w:szCs w:val="28"/>
      <w:lang w:val="zh-CN"/>
    </w:rPr>
  </w:style>
  <w:style w:type="character" w:customStyle="1" w:styleId="19">
    <w:name w:val="无间隔 Char"/>
    <w:link w:val="14"/>
    <w:qFormat/>
    <w:locked/>
    <w:uiPriority w:val="1"/>
    <w:rPr>
      <w:kern w:val="2"/>
      <w:sz w:val="21"/>
      <w:szCs w:val="24"/>
    </w:rPr>
  </w:style>
  <w:style w:type="character" w:customStyle="1" w:styleId="20">
    <w:name w:val="正文文本缩进 Char"/>
    <w:basedOn w:val="11"/>
    <w:link w:val="5"/>
    <w:qFormat/>
    <w:uiPriority w:val="0"/>
    <w:rPr>
      <w:rFonts w:ascii="Calibri" w:hAnsi="Calibri" w:cs="黑体"/>
      <w:kern w:val="2"/>
      <w:sz w:val="21"/>
      <w:szCs w:val="22"/>
    </w:rPr>
  </w:style>
  <w:style w:type="paragraph" w:customStyle="1" w:styleId="21">
    <w:name w:val="二级无"/>
    <w:basedOn w:val="22"/>
    <w:next w:val="24"/>
    <w:qFormat/>
    <w:uiPriority w:val="0"/>
    <w:pPr>
      <w:spacing w:beforeLines="0" w:afterLines="0"/>
    </w:pPr>
    <w:rPr>
      <w:rFonts w:ascii="宋体" w:eastAsia="宋体"/>
    </w:rPr>
  </w:style>
  <w:style w:type="paragraph" w:customStyle="1" w:styleId="22">
    <w:name w:val="二级条标题"/>
    <w:basedOn w:val="23"/>
    <w:next w:val="24"/>
    <w:qFormat/>
    <w:uiPriority w:val="0"/>
    <w:pPr>
      <w:numPr>
        <w:ilvl w:val="2"/>
      </w:numPr>
      <w:ind w:left="0"/>
      <w:outlineLvl w:val="3"/>
    </w:pPr>
  </w:style>
  <w:style w:type="paragraph" w:customStyle="1" w:styleId="23">
    <w:name w:val="一级条标题"/>
    <w:next w:val="24"/>
    <w:qFormat/>
    <w:uiPriority w:val="0"/>
    <w:pPr>
      <w:numPr>
        <w:ilvl w:val="1"/>
        <w:numId w:val="1"/>
      </w:numPr>
      <w:spacing w:beforeLines="50" w:afterLines="50"/>
      <w:ind w:left="0"/>
      <w:outlineLvl w:val="2"/>
    </w:pPr>
    <w:rPr>
      <w:rFonts w:ascii="黑体" w:hAnsi="Calibri" w:eastAsia="黑体" w:cs="Times New Roman"/>
      <w:sz w:val="21"/>
      <w:szCs w:val="21"/>
      <w:lang w:val="en-US" w:eastAsia="zh-CN" w:bidi="ar-SA"/>
    </w:rPr>
  </w:style>
  <w:style w:type="paragraph" w:customStyle="1" w:styleId="24">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lang w:val="en-US" w:eastAsia="zh-CN" w:bidi="ar-SA"/>
    </w:rPr>
  </w:style>
  <w:style w:type="paragraph" w:customStyle="1" w:styleId="25">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Normal_1"/>
    <w:qFormat/>
    <w:uiPriority w:val="0"/>
    <w:pPr>
      <w:spacing w:before="120" w:after="240"/>
      <w:jc w:val="both"/>
    </w:pPr>
    <w:rPr>
      <w:rFonts w:ascii="Calibri" w:hAnsi="Calibri" w:eastAsia="Calibri" w:cs="Times New Roman"/>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127A87-4F64-44C7-9202-2E35E9BE31A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2478</Words>
  <Characters>678</Characters>
  <Lines>5</Lines>
  <Paragraphs>6</Paragraphs>
  <TotalTime>2</TotalTime>
  <ScaleCrop>false</ScaleCrop>
  <LinksUpToDate>false</LinksUpToDate>
  <CharactersWithSpaces>3150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2022-11-26T01:16:00Z</dcterms:created>
  <dc:creator>刘纯全/BFGS/CHNG</dc:creator>
  <cp:lastModifiedBy>黄晨/BFGS/CHNG</cp:lastModifiedBy>
  <cp:lastPrinted>2023-02-03T06:52:00Z</cp:lastPrinted>
  <dcterms:modified xsi:type="dcterms:W3CDTF">2023-03-13T03:02:33Z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DAC017DC2C4549C88775F1BEDCC777E2</vt:lpwstr>
  </property>
</Properties>
</file>