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widowControl/>
        <w:shd w:val="clear" w:color="FFFFFF" w:fill="FFFFFF"/>
        <w:tabs>
          <w:tab w:val="left" w:pos="360"/>
          <w:tab w:val="left" w:pos="6405"/>
        </w:tabs>
        <w:spacing w:before="640" w:after="280"/>
        <w:jc w:val="center"/>
        <w:outlineLvl w:val="9"/>
        <w:rPr>
          <w:rFonts w:ascii="黑体" w:eastAsia="黑体"/>
          <w:kern w:val="0"/>
          <w:szCs w:val="20"/>
        </w:rPr>
      </w:pPr>
      <w:bookmarkStart w:id="0" w:name="_Toc24113172"/>
      <w:bookmarkStart w:id="1" w:name="_Hlk19617887"/>
      <w:r>
        <w:rPr>
          <w:rFonts w:hint="eastAsia" w:ascii="黑体" w:eastAsia="黑体"/>
          <w:kern w:val="0"/>
          <w:szCs w:val="20"/>
        </w:rPr>
        <w:t>附　录　D</w:t>
      </w:r>
      <w:r>
        <w:rPr>
          <w:rFonts w:ascii="黑体" w:eastAsia="黑体"/>
          <w:kern w:val="0"/>
          <w:szCs w:val="20"/>
        </w:rPr>
        <w:br w:type="textWrapping"/>
      </w:r>
      <w:r>
        <w:rPr>
          <w:rFonts w:hint="eastAsia" w:ascii="黑体" w:eastAsia="黑体"/>
          <w:kern w:val="0"/>
          <w:szCs w:val="20"/>
        </w:rPr>
        <w:t>（规范性附录）</w:t>
      </w:r>
      <w:r>
        <w:rPr>
          <w:rFonts w:ascii="黑体" w:eastAsia="黑体"/>
          <w:kern w:val="0"/>
          <w:szCs w:val="20"/>
        </w:rPr>
        <w:br w:type="textWrapping"/>
      </w:r>
      <w:r>
        <w:rPr>
          <w:rFonts w:hint="eastAsia" w:ascii="黑体" w:eastAsia="黑体"/>
          <w:kern w:val="0"/>
          <w:szCs w:val="20"/>
        </w:rPr>
        <w:t>煤炭买卖市场合同标准模板（供应商到厂交货）</w:t>
      </w:r>
      <w:bookmarkEnd w:id="0"/>
    </w:p>
    <w:p>
      <w:pPr>
        <w:spacing w:line="500" w:lineRule="exact"/>
        <w:jc w:val="center"/>
        <w:rPr>
          <w:rFonts w:ascii="宋体" w:hAnsi="宋体"/>
          <w:b/>
          <w:sz w:val="36"/>
          <w:szCs w:val="36"/>
        </w:rPr>
      </w:pPr>
      <w:r>
        <w:rPr>
          <w:rFonts w:hint="eastAsia" w:ascii="宋体" w:hAnsi="宋体"/>
          <w:b/>
          <w:sz w:val="36"/>
          <w:szCs w:val="36"/>
        </w:rPr>
        <w:t>煤炭买卖合同（市场）</w:t>
      </w:r>
    </w:p>
    <w:p>
      <w:pPr>
        <w:spacing w:line="500" w:lineRule="exact"/>
        <w:jc w:val="center"/>
        <w:rPr>
          <w:rFonts w:ascii="黑体" w:hAnsi="宋体" w:eastAsia="黑体"/>
          <w:sz w:val="32"/>
          <w:szCs w:val="32"/>
        </w:rPr>
      </w:pPr>
    </w:p>
    <w:p>
      <w:pPr>
        <w:tabs>
          <w:tab w:val="left" w:pos="4395"/>
        </w:tabs>
        <w:spacing w:line="400" w:lineRule="exact"/>
        <w:rPr>
          <w:rFonts w:ascii="宋体" w:hAnsi="宋体"/>
          <w:sz w:val="24"/>
        </w:rPr>
      </w:pPr>
      <w:r>
        <w:rPr>
          <w:rFonts w:ascii="宋体" w:hAnsi="宋体"/>
          <w:sz w:val="24"/>
        </w:rPr>
        <w:tab/>
      </w:r>
      <w:r>
        <w:rPr>
          <w:rFonts w:hint="eastAsia" w:ascii="宋体" w:hAnsi="宋体"/>
          <w:sz w:val="24"/>
        </w:rPr>
        <w:t>合同编号：【】</w:t>
      </w:r>
    </w:p>
    <w:p>
      <w:pPr>
        <w:tabs>
          <w:tab w:val="left" w:pos="4395"/>
        </w:tabs>
        <w:spacing w:line="400" w:lineRule="exact"/>
        <w:rPr>
          <w:rFonts w:ascii="宋体" w:hAnsi="宋体"/>
          <w:sz w:val="24"/>
        </w:rPr>
      </w:pPr>
      <w:r>
        <w:rPr>
          <w:rFonts w:ascii="宋体" w:hAnsi="宋体"/>
          <w:sz w:val="24"/>
        </w:rPr>
        <w:tab/>
      </w:r>
      <w:r>
        <w:rPr>
          <w:rFonts w:hint="eastAsia" w:ascii="宋体" w:hAnsi="宋体"/>
          <w:sz w:val="24"/>
        </w:rPr>
        <w:t>竞价编号：【】</w:t>
      </w:r>
    </w:p>
    <w:p>
      <w:pPr>
        <w:tabs>
          <w:tab w:val="left" w:pos="4395"/>
        </w:tabs>
        <w:spacing w:line="400" w:lineRule="exact"/>
        <w:rPr>
          <w:rFonts w:ascii="宋体" w:hAnsi="宋体"/>
          <w:sz w:val="24"/>
        </w:rPr>
      </w:pPr>
      <w:r>
        <w:rPr>
          <w:rFonts w:hint="eastAsia" w:ascii="宋体" w:hAnsi="宋体"/>
          <w:sz w:val="24"/>
        </w:rPr>
        <w:t>出卖人（卖方）：【】</w:t>
      </w:r>
      <w:r>
        <w:rPr>
          <w:rFonts w:ascii="宋体" w:hAnsi="宋体"/>
          <w:sz w:val="24"/>
        </w:rPr>
        <w:tab/>
      </w:r>
      <w:r>
        <w:rPr>
          <w:rFonts w:hint="eastAsia" w:ascii="宋体" w:hAnsi="宋体"/>
          <w:sz w:val="24"/>
        </w:rPr>
        <w:t>签约时间：【】年【】月【】日</w:t>
      </w:r>
    </w:p>
    <w:p>
      <w:pPr>
        <w:tabs>
          <w:tab w:val="left" w:pos="4395"/>
        </w:tabs>
        <w:spacing w:line="400" w:lineRule="exact"/>
        <w:rPr>
          <w:rFonts w:ascii="宋体" w:hAnsi="宋体"/>
          <w:sz w:val="24"/>
        </w:rPr>
      </w:pPr>
      <w:r>
        <w:rPr>
          <w:rFonts w:hint="eastAsia" w:ascii="宋体" w:hAnsi="宋体"/>
          <w:sz w:val="24"/>
        </w:rPr>
        <w:t>买受人（买方）：【】</w:t>
      </w:r>
      <w:r>
        <w:rPr>
          <w:rFonts w:ascii="宋体" w:hAnsi="宋体"/>
          <w:b/>
          <w:sz w:val="24"/>
        </w:rPr>
        <w:tab/>
      </w:r>
      <w:r>
        <w:rPr>
          <w:rFonts w:hint="eastAsia" w:ascii="宋体" w:hAnsi="宋体"/>
          <w:sz w:val="24"/>
        </w:rPr>
        <w:t>签约地点：【】</w:t>
      </w:r>
    </w:p>
    <w:p/>
    <w:p>
      <w:pPr>
        <w:ind w:firstLine="480" w:firstLineChars="200"/>
        <w:rPr>
          <w:rFonts w:ascii="宋体" w:hAnsi="宋体"/>
          <w:sz w:val="24"/>
        </w:rPr>
      </w:pPr>
      <w:r>
        <w:rPr>
          <w:rFonts w:hint="eastAsia" w:ascii="宋体" w:hAnsi="宋体"/>
          <w:sz w:val="24"/>
        </w:rPr>
        <w:t>根据《中华人民共和国合同法》等相关法律法规的规定，买、卖双方经平等协商，就煤炭购销事宜签订本合同，以资共同遵守。</w:t>
      </w:r>
    </w:p>
    <w:p>
      <w:pPr>
        <w:spacing w:line="500" w:lineRule="exact"/>
        <w:ind w:firstLine="482"/>
        <w:outlineLvl w:val="0"/>
        <w:rPr>
          <w:rFonts w:ascii="宋体" w:hAnsi="宋体"/>
          <w:b/>
          <w:sz w:val="24"/>
        </w:rPr>
      </w:pPr>
      <w:r>
        <w:rPr>
          <w:rFonts w:hint="eastAsia" w:ascii="宋体" w:hAnsi="宋体"/>
          <w:b/>
          <w:sz w:val="24"/>
        </w:rPr>
        <w:t>一、</w:t>
      </w:r>
      <w:r>
        <w:rPr>
          <w:rFonts w:hint="eastAsia" w:ascii="宋体" w:hAnsi="宋体"/>
          <w:b/>
          <w:sz w:val="24"/>
        </w:rPr>
        <w:tab/>
      </w:r>
      <w:r>
        <w:rPr>
          <w:rFonts w:hint="eastAsia" w:ascii="宋体" w:hAnsi="宋体"/>
          <w:b/>
          <w:sz w:val="24"/>
        </w:rPr>
        <w:t>收货人名称、交货地点、供煤矿点、品种规格、质量、交货时间及数量</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收货人为：【单位全称】</w:t>
      </w:r>
    </w:p>
    <w:p>
      <w:pPr>
        <w:ind w:firstLine="48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交货期间为：【】年【】月【】日至【】年【】月【】日。。</w:t>
      </w:r>
    </w:p>
    <w:p>
      <w:pPr>
        <w:ind w:firstLine="48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供煤矿点、交货地点、交货时间及数量如下：</w:t>
      </w:r>
    </w:p>
    <w:tbl>
      <w:tblPr>
        <w:tblStyle w:val="24"/>
        <w:tblW w:w="86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991"/>
        <w:gridCol w:w="497"/>
        <w:gridCol w:w="498"/>
        <w:gridCol w:w="889"/>
        <w:gridCol w:w="677"/>
        <w:gridCol w:w="237"/>
        <w:gridCol w:w="237"/>
        <w:gridCol w:w="237"/>
        <w:gridCol w:w="237"/>
        <w:gridCol w:w="237"/>
        <w:gridCol w:w="237"/>
        <w:gridCol w:w="237"/>
        <w:gridCol w:w="237"/>
        <w:gridCol w:w="237"/>
        <w:gridCol w:w="449"/>
        <w:gridCol w:w="426"/>
        <w:gridCol w:w="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54" w:type="dxa"/>
            <w:vAlign w:val="center"/>
          </w:tcPr>
          <w:p>
            <w:pPr>
              <w:snapToGrid w:val="0"/>
              <w:jc w:val="center"/>
              <w:rPr>
                <w:rFonts w:ascii="宋体" w:hAnsi="宋体"/>
              </w:rPr>
            </w:pPr>
            <w:r>
              <w:rPr>
                <w:rFonts w:hint="eastAsia" w:ascii="宋体" w:hAnsi="宋体"/>
                <w:szCs w:val="21"/>
              </w:rPr>
              <w:t>品名/煤种</w:t>
            </w:r>
          </w:p>
        </w:tc>
        <w:tc>
          <w:tcPr>
            <w:tcW w:w="991" w:type="dxa"/>
            <w:vAlign w:val="center"/>
          </w:tcPr>
          <w:p>
            <w:pPr>
              <w:snapToGrid w:val="0"/>
              <w:jc w:val="center"/>
              <w:rPr>
                <w:rFonts w:ascii="宋体" w:hAnsi="宋体"/>
              </w:rPr>
            </w:pPr>
            <w:r>
              <w:rPr>
                <w:rFonts w:hint="eastAsia" w:ascii="宋体" w:hAnsi="宋体"/>
              </w:rPr>
              <w:t>供煤矿点（产地）</w:t>
            </w:r>
          </w:p>
        </w:tc>
        <w:tc>
          <w:tcPr>
            <w:tcW w:w="497" w:type="dxa"/>
            <w:vAlign w:val="center"/>
          </w:tcPr>
          <w:p>
            <w:pPr>
              <w:snapToGrid w:val="0"/>
              <w:jc w:val="center"/>
              <w:rPr>
                <w:rFonts w:ascii="宋体" w:hAnsi="宋体"/>
              </w:rPr>
            </w:pPr>
            <w:r>
              <w:rPr>
                <w:rFonts w:hint="eastAsia" w:ascii="宋体" w:hAnsi="宋体"/>
              </w:rPr>
              <w:t>发站</w:t>
            </w:r>
          </w:p>
        </w:tc>
        <w:tc>
          <w:tcPr>
            <w:tcW w:w="498" w:type="dxa"/>
            <w:vAlign w:val="center"/>
          </w:tcPr>
          <w:p>
            <w:pPr>
              <w:snapToGrid w:val="0"/>
              <w:jc w:val="center"/>
              <w:rPr>
                <w:rFonts w:ascii="宋体" w:hAnsi="宋体"/>
              </w:rPr>
            </w:pPr>
            <w:r>
              <w:rPr>
                <w:rFonts w:hint="eastAsia" w:ascii="宋体" w:hAnsi="宋体"/>
              </w:rPr>
              <w:t>到站</w:t>
            </w:r>
          </w:p>
        </w:tc>
        <w:tc>
          <w:tcPr>
            <w:tcW w:w="889" w:type="dxa"/>
            <w:vAlign w:val="center"/>
          </w:tcPr>
          <w:p>
            <w:pPr>
              <w:snapToGrid w:val="0"/>
              <w:jc w:val="center"/>
              <w:rPr>
                <w:rFonts w:ascii="宋体" w:hAnsi="宋体"/>
              </w:rPr>
            </w:pPr>
            <w:r>
              <w:rPr>
                <w:rFonts w:hint="eastAsia" w:ascii="宋体" w:hAnsi="宋体"/>
              </w:rPr>
              <w:t>交货地点</w:t>
            </w:r>
          </w:p>
        </w:tc>
        <w:tc>
          <w:tcPr>
            <w:tcW w:w="4170" w:type="dxa"/>
            <w:gridSpan w:val="13"/>
            <w:vAlign w:val="center"/>
          </w:tcPr>
          <w:p>
            <w:pPr>
              <w:snapToGrid w:val="0"/>
              <w:jc w:val="center"/>
              <w:rPr>
                <w:rFonts w:ascii="宋体" w:hAnsi="宋体"/>
              </w:rPr>
            </w:pPr>
            <w:r>
              <w:rPr>
                <w:rFonts w:hint="eastAsia" w:ascii="宋体" w:hAnsi="宋体"/>
              </w:rPr>
              <w:t>交货时间（月/旬/日）</w:t>
            </w:r>
          </w:p>
          <w:p>
            <w:pPr>
              <w:snapToGrid w:val="0"/>
              <w:jc w:val="center"/>
              <w:rPr>
                <w:rFonts w:ascii="宋体" w:hAnsi="宋体"/>
              </w:rPr>
            </w:pPr>
            <w:r>
              <w:rPr>
                <w:rFonts w:hint="eastAsia" w:ascii="宋体" w:hAnsi="宋体"/>
              </w:rPr>
              <w:t>及数量（万吨）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jc w:val="center"/>
        </w:trPr>
        <w:tc>
          <w:tcPr>
            <w:tcW w:w="1654" w:type="dxa"/>
            <w:vMerge w:val="restart"/>
            <w:vAlign w:val="center"/>
          </w:tcPr>
          <w:p>
            <w:pPr>
              <w:snapToGrid w:val="0"/>
              <w:jc w:val="center"/>
              <w:rPr>
                <w:rFonts w:ascii="宋体" w:hAnsi="宋体"/>
              </w:rPr>
            </w:pPr>
          </w:p>
        </w:tc>
        <w:tc>
          <w:tcPr>
            <w:tcW w:w="991" w:type="dxa"/>
            <w:vMerge w:val="restart"/>
            <w:vAlign w:val="center"/>
          </w:tcPr>
          <w:p>
            <w:pPr>
              <w:snapToGrid w:val="0"/>
              <w:jc w:val="center"/>
              <w:rPr>
                <w:rFonts w:ascii="宋体" w:hAnsi="宋体"/>
              </w:rPr>
            </w:pPr>
          </w:p>
        </w:tc>
        <w:tc>
          <w:tcPr>
            <w:tcW w:w="497" w:type="dxa"/>
            <w:vMerge w:val="restart"/>
            <w:vAlign w:val="center"/>
          </w:tcPr>
          <w:p>
            <w:pPr>
              <w:snapToGrid w:val="0"/>
              <w:jc w:val="center"/>
              <w:rPr>
                <w:rFonts w:ascii="宋体" w:hAnsi="宋体"/>
              </w:rPr>
            </w:pPr>
          </w:p>
        </w:tc>
        <w:tc>
          <w:tcPr>
            <w:tcW w:w="498" w:type="dxa"/>
            <w:vMerge w:val="restart"/>
            <w:vAlign w:val="center"/>
          </w:tcPr>
          <w:p>
            <w:pPr>
              <w:snapToGrid w:val="0"/>
              <w:jc w:val="center"/>
              <w:rPr>
                <w:rFonts w:ascii="宋体" w:hAnsi="宋体"/>
              </w:rPr>
            </w:pPr>
          </w:p>
        </w:tc>
        <w:tc>
          <w:tcPr>
            <w:tcW w:w="889" w:type="dxa"/>
            <w:vMerge w:val="restart"/>
            <w:vAlign w:val="center"/>
          </w:tcPr>
          <w:p>
            <w:pPr>
              <w:snapToGrid w:val="0"/>
              <w:jc w:val="center"/>
              <w:rPr>
                <w:rFonts w:ascii="宋体" w:hAnsi="宋体"/>
              </w:rPr>
            </w:pPr>
          </w:p>
        </w:tc>
        <w:tc>
          <w:tcPr>
            <w:tcW w:w="677" w:type="dxa"/>
            <w:vAlign w:val="center"/>
          </w:tcPr>
          <w:p>
            <w:pPr>
              <w:snapToGrid w:val="0"/>
              <w:jc w:val="center"/>
              <w:rPr>
                <w:rFonts w:ascii="宋体" w:hAnsi="宋体"/>
              </w:rPr>
            </w:pPr>
            <w:r>
              <w:rPr>
                <w:rFonts w:hint="eastAsia" w:ascii="宋体" w:hAnsi="宋体"/>
              </w:rPr>
              <w:t>合计</w:t>
            </w:r>
          </w:p>
        </w:tc>
        <w:tc>
          <w:tcPr>
            <w:tcW w:w="237" w:type="dxa"/>
            <w:vAlign w:val="center"/>
          </w:tcPr>
          <w:p>
            <w:pPr>
              <w:snapToGrid w:val="0"/>
              <w:jc w:val="center"/>
              <w:rPr>
                <w:rFonts w:ascii="宋体" w:hAnsi="宋体"/>
              </w:rPr>
            </w:pPr>
            <w:r>
              <w:rPr>
                <w:rFonts w:hint="eastAsia" w:ascii="宋体" w:hAnsi="宋体"/>
              </w:rPr>
              <w:t>1</w:t>
            </w:r>
          </w:p>
        </w:tc>
        <w:tc>
          <w:tcPr>
            <w:tcW w:w="237" w:type="dxa"/>
            <w:vAlign w:val="center"/>
          </w:tcPr>
          <w:p>
            <w:pPr>
              <w:snapToGrid w:val="0"/>
              <w:jc w:val="center"/>
              <w:rPr>
                <w:rFonts w:ascii="宋体" w:hAnsi="宋体"/>
              </w:rPr>
            </w:pPr>
            <w:r>
              <w:rPr>
                <w:rFonts w:hint="eastAsia" w:ascii="宋体" w:hAnsi="宋体"/>
              </w:rPr>
              <w:t>2</w:t>
            </w:r>
          </w:p>
        </w:tc>
        <w:tc>
          <w:tcPr>
            <w:tcW w:w="237" w:type="dxa"/>
            <w:vAlign w:val="center"/>
          </w:tcPr>
          <w:p>
            <w:pPr>
              <w:snapToGrid w:val="0"/>
              <w:jc w:val="center"/>
              <w:rPr>
                <w:rFonts w:ascii="宋体" w:hAnsi="宋体"/>
              </w:rPr>
            </w:pPr>
            <w:r>
              <w:rPr>
                <w:rFonts w:hint="eastAsia" w:ascii="宋体" w:hAnsi="宋体"/>
              </w:rPr>
              <w:t>3</w:t>
            </w:r>
          </w:p>
        </w:tc>
        <w:tc>
          <w:tcPr>
            <w:tcW w:w="237" w:type="dxa"/>
            <w:vAlign w:val="center"/>
          </w:tcPr>
          <w:p>
            <w:pPr>
              <w:snapToGrid w:val="0"/>
              <w:jc w:val="center"/>
              <w:rPr>
                <w:rFonts w:ascii="宋体" w:hAnsi="宋体"/>
              </w:rPr>
            </w:pPr>
            <w:r>
              <w:rPr>
                <w:rFonts w:hint="eastAsia" w:ascii="宋体" w:hAnsi="宋体"/>
              </w:rPr>
              <w:t>4</w:t>
            </w:r>
          </w:p>
        </w:tc>
        <w:tc>
          <w:tcPr>
            <w:tcW w:w="237" w:type="dxa"/>
            <w:vAlign w:val="center"/>
          </w:tcPr>
          <w:p>
            <w:pPr>
              <w:snapToGrid w:val="0"/>
              <w:jc w:val="center"/>
              <w:rPr>
                <w:rFonts w:ascii="宋体" w:hAnsi="宋体"/>
              </w:rPr>
            </w:pPr>
            <w:r>
              <w:rPr>
                <w:rFonts w:hint="eastAsia" w:ascii="宋体" w:hAnsi="宋体"/>
              </w:rPr>
              <w:t>5</w:t>
            </w:r>
          </w:p>
        </w:tc>
        <w:tc>
          <w:tcPr>
            <w:tcW w:w="237" w:type="dxa"/>
            <w:vAlign w:val="center"/>
          </w:tcPr>
          <w:p>
            <w:pPr>
              <w:snapToGrid w:val="0"/>
              <w:jc w:val="center"/>
              <w:rPr>
                <w:rFonts w:ascii="宋体" w:hAnsi="宋体"/>
              </w:rPr>
            </w:pPr>
            <w:r>
              <w:rPr>
                <w:rFonts w:hint="eastAsia" w:ascii="宋体" w:hAnsi="宋体"/>
              </w:rPr>
              <w:t>6</w:t>
            </w:r>
          </w:p>
        </w:tc>
        <w:tc>
          <w:tcPr>
            <w:tcW w:w="237" w:type="dxa"/>
            <w:vAlign w:val="center"/>
          </w:tcPr>
          <w:p>
            <w:pPr>
              <w:snapToGrid w:val="0"/>
              <w:jc w:val="center"/>
              <w:rPr>
                <w:rFonts w:ascii="宋体" w:hAnsi="宋体"/>
              </w:rPr>
            </w:pPr>
            <w:r>
              <w:rPr>
                <w:rFonts w:hint="eastAsia" w:ascii="宋体" w:hAnsi="宋体"/>
              </w:rPr>
              <w:t>7</w:t>
            </w:r>
          </w:p>
        </w:tc>
        <w:tc>
          <w:tcPr>
            <w:tcW w:w="237" w:type="dxa"/>
            <w:vAlign w:val="center"/>
          </w:tcPr>
          <w:p>
            <w:pPr>
              <w:snapToGrid w:val="0"/>
              <w:jc w:val="center"/>
              <w:rPr>
                <w:rFonts w:ascii="宋体" w:hAnsi="宋体"/>
              </w:rPr>
            </w:pPr>
            <w:r>
              <w:rPr>
                <w:rFonts w:hint="eastAsia" w:ascii="宋体" w:hAnsi="宋体"/>
              </w:rPr>
              <w:t>8</w:t>
            </w:r>
          </w:p>
        </w:tc>
        <w:tc>
          <w:tcPr>
            <w:tcW w:w="237" w:type="dxa"/>
            <w:vAlign w:val="center"/>
          </w:tcPr>
          <w:p>
            <w:pPr>
              <w:snapToGrid w:val="0"/>
              <w:jc w:val="center"/>
              <w:rPr>
                <w:rFonts w:ascii="宋体" w:hAnsi="宋体"/>
              </w:rPr>
            </w:pPr>
            <w:r>
              <w:rPr>
                <w:rFonts w:hint="eastAsia" w:ascii="宋体" w:hAnsi="宋体"/>
              </w:rPr>
              <w:t>9</w:t>
            </w:r>
          </w:p>
        </w:tc>
        <w:tc>
          <w:tcPr>
            <w:tcW w:w="449" w:type="dxa"/>
            <w:vAlign w:val="center"/>
          </w:tcPr>
          <w:p>
            <w:pPr>
              <w:snapToGrid w:val="0"/>
              <w:jc w:val="center"/>
              <w:rPr>
                <w:rFonts w:ascii="宋体" w:hAnsi="宋体"/>
              </w:rPr>
            </w:pPr>
            <w:r>
              <w:rPr>
                <w:rFonts w:hint="eastAsia" w:ascii="宋体" w:hAnsi="宋体"/>
              </w:rPr>
              <w:t>1</w:t>
            </w:r>
            <w:r>
              <w:rPr>
                <w:rFonts w:ascii="宋体" w:hAnsi="宋体"/>
              </w:rPr>
              <w:t>0</w:t>
            </w:r>
          </w:p>
        </w:tc>
        <w:tc>
          <w:tcPr>
            <w:tcW w:w="426" w:type="dxa"/>
            <w:vAlign w:val="center"/>
          </w:tcPr>
          <w:p>
            <w:pPr>
              <w:snapToGrid w:val="0"/>
              <w:jc w:val="center"/>
              <w:rPr>
                <w:rFonts w:ascii="宋体" w:hAnsi="宋体"/>
              </w:rPr>
            </w:pPr>
            <w:r>
              <w:rPr>
                <w:rFonts w:hint="eastAsia" w:ascii="宋体" w:hAnsi="宋体"/>
              </w:rPr>
              <w:t>11</w:t>
            </w:r>
          </w:p>
        </w:tc>
        <w:tc>
          <w:tcPr>
            <w:tcW w:w="485" w:type="dxa"/>
            <w:vAlign w:val="center"/>
          </w:tcPr>
          <w:p>
            <w:pPr>
              <w:snapToGrid w:val="0"/>
              <w:jc w:val="center"/>
              <w:rPr>
                <w:rFonts w:ascii="宋体" w:hAnsi="宋体"/>
              </w:rPr>
            </w:pPr>
            <w:r>
              <w:rPr>
                <w:rFonts w:hint="eastAsia" w:ascii="宋体" w:hAnsi="宋体"/>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jc w:val="center"/>
        </w:trPr>
        <w:tc>
          <w:tcPr>
            <w:tcW w:w="1654" w:type="dxa"/>
            <w:vMerge w:val="continue"/>
            <w:vAlign w:val="center"/>
          </w:tcPr>
          <w:p>
            <w:pPr>
              <w:snapToGrid w:val="0"/>
              <w:jc w:val="center"/>
              <w:rPr>
                <w:rFonts w:ascii="宋体" w:hAnsi="宋体"/>
              </w:rPr>
            </w:pPr>
          </w:p>
        </w:tc>
        <w:tc>
          <w:tcPr>
            <w:tcW w:w="991" w:type="dxa"/>
            <w:vMerge w:val="continue"/>
            <w:vAlign w:val="center"/>
          </w:tcPr>
          <w:p>
            <w:pPr>
              <w:snapToGrid w:val="0"/>
              <w:jc w:val="center"/>
              <w:rPr>
                <w:rFonts w:ascii="宋体" w:hAnsi="宋体"/>
              </w:rPr>
            </w:pPr>
          </w:p>
        </w:tc>
        <w:tc>
          <w:tcPr>
            <w:tcW w:w="497" w:type="dxa"/>
            <w:vMerge w:val="continue"/>
            <w:vAlign w:val="center"/>
          </w:tcPr>
          <w:p>
            <w:pPr>
              <w:snapToGrid w:val="0"/>
              <w:jc w:val="center"/>
              <w:rPr>
                <w:rFonts w:ascii="宋体" w:hAnsi="宋体"/>
              </w:rPr>
            </w:pPr>
          </w:p>
        </w:tc>
        <w:tc>
          <w:tcPr>
            <w:tcW w:w="498" w:type="dxa"/>
            <w:vMerge w:val="continue"/>
            <w:vAlign w:val="center"/>
          </w:tcPr>
          <w:p>
            <w:pPr>
              <w:snapToGrid w:val="0"/>
              <w:jc w:val="center"/>
              <w:rPr>
                <w:rFonts w:ascii="宋体" w:hAnsi="宋体"/>
              </w:rPr>
            </w:pPr>
          </w:p>
        </w:tc>
        <w:tc>
          <w:tcPr>
            <w:tcW w:w="889" w:type="dxa"/>
            <w:vMerge w:val="continue"/>
            <w:vAlign w:val="center"/>
          </w:tcPr>
          <w:p>
            <w:pPr>
              <w:snapToGrid w:val="0"/>
              <w:jc w:val="center"/>
              <w:rPr>
                <w:rFonts w:ascii="宋体" w:hAnsi="宋体"/>
              </w:rPr>
            </w:pPr>
          </w:p>
        </w:tc>
        <w:tc>
          <w:tcPr>
            <w:tcW w:w="67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237" w:type="dxa"/>
            <w:vAlign w:val="center"/>
          </w:tcPr>
          <w:p>
            <w:pPr>
              <w:snapToGrid w:val="0"/>
              <w:jc w:val="center"/>
              <w:rPr>
                <w:rFonts w:ascii="宋体" w:hAnsi="宋体"/>
              </w:rPr>
            </w:pPr>
          </w:p>
        </w:tc>
        <w:tc>
          <w:tcPr>
            <w:tcW w:w="449" w:type="dxa"/>
            <w:vAlign w:val="center"/>
          </w:tcPr>
          <w:p>
            <w:pPr>
              <w:snapToGrid w:val="0"/>
              <w:jc w:val="center"/>
              <w:rPr>
                <w:rFonts w:ascii="宋体" w:hAnsi="宋体"/>
              </w:rPr>
            </w:pPr>
          </w:p>
        </w:tc>
        <w:tc>
          <w:tcPr>
            <w:tcW w:w="426" w:type="dxa"/>
            <w:vAlign w:val="center"/>
          </w:tcPr>
          <w:p>
            <w:pPr>
              <w:snapToGrid w:val="0"/>
              <w:jc w:val="center"/>
              <w:rPr>
                <w:rFonts w:ascii="宋体" w:hAnsi="宋体"/>
              </w:rPr>
            </w:pPr>
          </w:p>
        </w:tc>
        <w:tc>
          <w:tcPr>
            <w:tcW w:w="485" w:type="dxa"/>
            <w:vAlign w:val="center"/>
          </w:tcPr>
          <w:p>
            <w:pPr>
              <w:snapToGrid w:val="0"/>
              <w:jc w:val="center"/>
              <w:rPr>
                <w:rFonts w:ascii="宋体" w:hAnsi="宋体"/>
              </w:rPr>
            </w:pPr>
          </w:p>
        </w:tc>
      </w:tr>
    </w:tbl>
    <w:p>
      <w:pPr>
        <w:ind w:firstLine="480" w:firstLineChars="200"/>
        <w:rPr>
          <w:rFonts w:ascii="宋体" w:hAnsi="宋体"/>
          <w:sz w:val="24"/>
        </w:rPr>
      </w:pPr>
      <w:r>
        <w:rPr>
          <w:rFonts w:hint="eastAsia" w:ascii="宋体" w:hAnsi="宋体"/>
          <w:sz w:val="24"/>
        </w:rPr>
        <w:t>分月计划（或旬/日计划）交货量系基于买方电量计划进行确定，买方可根据实际电量和需求变化对计划交货量、交货时间、交货地点进行调整，但应在发货之日前提前【】日书面通知卖方。具体交货时间以买方通知之日为准。采用火车运输方式，铁路货物运单承运日期在交货截止时间以内的，也视为按时交货；水运方式下，承运船只抵达卸货港锚地之日在交货截止时间以内的，视为按时交货。</w:t>
      </w:r>
    </w:p>
    <w:p>
      <w:pPr>
        <w:ind w:firstLine="480" w:firstLineChars="200"/>
        <w:rPr>
          <w:rFonts w:ascii="宋体" w:hAnsi="宋体"/>
          <w:sz w:val="24"/>
        </w:rPr>
      </w:pPr>
      <w:r>
        <w:rPr>
          <w:rFonts w:hint="eastAsia" w:ascii="宋体" w:hAnsi="宋体"/>
          <w:sz w:val="24"/>
        </w:rPr>
        <w:t>一方调整合同总量或月度数量超过【%】时，双方需另行签订合同补充协议。</w:t>
      </w:r>
    </w:p>
    <w:p>
      <w:pPr>
        <w:ind w:firstLine="482"/>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品种规格及质量要求：</w:t>
      </w:r>
    </w:p>
    <w:p>
      <w:pPr>
        <w:ind w:firstLine="480" w:firstLineChars="200"/>
        <w:rPr>
          <w:rFonts w:ascii="宋体" w:hAnsi="宋体"/>
          <w:sz w:val="24"/>
        </w:rPr>
      </w:pPr>
      <w:r>
        <w:rPr>
          <w:rFonts w:hint="eastAsia" w:ascii="宋体" w:hAnsi="宋体"/>
          <w:sz w:val="24"/>
        </w:rPr>
        <w:t>卖方所供煤炭需满足《商品煤质量管理暂行办法》和以下煤质指标要求：</w:t>
      </w:r>
    </w:p>
    <w:tbl>
      <w:tblPr>
        <w:tblStyle w:val="24"/>
        <w:tblW w:w="91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505"/>
        <w:gridCol w:w="858"/>
        <w:gridCol w:w="858"/>
        <w:gridCol w:w="858"/>
        <w:gridCol w:w="1094"/>
        <w:gridCol w:w="859"/>
        <w:gridCol w:w="953"/>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blHeader/>
          <w:jc w:val="center"/>
        </w:trPr>
        <w:tc>
          <w:tcPr>
            <w:tcW w:w="1184" w:type="dxa"/>
            <w:vMerge w:val="restart"/>
            <w:vAlign w:val="center"/>
          </w:tcPr>
          <w:p>
            <w:pPr>
              <w:snapToGrid w:val="0"/>
              <w:jc w:val="center"/>
              <w:rPr>
                <w:rFonts w:ascii="宋体" w:hAnsi="宋体"/>
                <w:szCs w:val="21"/>
              </w:rPr>
            </w:pPr>
            <w:r>
              <w:rPr>
                <w:rFonts w:hint="eastAsia" w:ascii="宋体" w:hAnsi="宋体"/>
                <w:szCs w:val="21"/>
              </w:rPr>
              <w:t>品名/煤种</w:t>
            </w:r>
          </w:p>
        </w:tc>
        <w:tc>
          <w:tcPr>
            <w:tcW w:w="1505" w:type="dxa"/>
            <w:vAlign w:val="center"/>
          </w:tcPr>
          <w:p>
            <w:pPr>
              <w:snapToGrid w:val="0"/>
              <w:jc w:val="center"/>
              <w:rPr>
                <w:rFonts w:ascii="宋体" w:hAnsi="宋体"/>
                <w:szCs w:val="21"/>
              </w:rPr>
            </w:pPr>
            <w:r>
              <w:rPr>
                <w:rFonts w:hint="eastAsia" w:ascii="宋体" w:hAnsi="宋体"/>
                <w:szCs w:val="21"/>
              </w:rPr>
              <w:t>发热量</w:t>
            </w:r>
          </w:p>
        </w:tc>
        <w:tc>
          <w:tcPr>
            <w:tcW w:w="858" w:type="dxa"/>
            <w:vAlign w:val="center"/>
          </w:tcPr>
          <w:p>
            <w:pPr>
              <w:snapToGrid w:val="0"/>
              <w:jc w:val="center"/>
              <w:rPr>
                <w:rFonts w:ascii="宋体" w:hAnsi="宋体"/>
                <w:szCs w:val="21"/>
              </w:rPr>
            </w:pPr>
            <w:r>
              <w:rPr>
                <w:rFonts w:hint="eastAsia" w:ascii="宋体" w:hAnsi="宋体"/>
                <w:szCs w:val="21"/>
              </w:rPr>
              <w:t>全水</w:t>
            </w:r>
          </w:p>
        </w:tc>
        <w:tc>
          <w:tcPr>
            <w:tcW w:w="858" w:type="dxa"/>
            <w:vAlign w:val="center"/>
          </w:tcPr>
          <w:p>
            <w:pPr>
              <w:snapToGrid w:val="0"/>
              <w:jc w:val="center"/>
              <w:rPr>
                <w:rFonts w:ascii="宋体" w:hAnsi="宋体"/>
                <w:szCs w:val="21"/>
              </w:rPr>
            </w:pPr>
            <w:r>
              <w:rPr>
                <w:rFonts w:hint="eastAsia" w:ascii="宋体" w:hAnsi="宋体"/>
                <w:szCs w:val="21"/>
              </w:rPr>
              <w:t>灰分</w:t>
            </w:r>
          </w:p>
        </w:tc>
        <w:tc>
          <w:tcPr>
            <w:tcW w:w="858" w:type="dxa"/>
            <w:vAlign w:val="center"/>
          </w:tcPr>
          <w:p>
            <w:pPr>
              <w:snapToGrid w:val="0"/>
              <w:jc w:val="center"/>
              <w:rPr>
                <w:rFonts w:ascii="宋体" w:hAnsi="宋体"/>
                <w:szCs w:val="21"/>
              </w:rPr>
            </w:pPr>
            <w:r>
              <w:rPr>
                <w:rFonts w:hint="eastAsia" w:ascii="宋体" w:hAnsi="宋体"/>
                <w:szCs w:val="21"/>
              </w:rPr>
              <w:t>挥发分</w:t>
            </w:r>
          </w:p>
        </w:tc>
        <w:tc>
          <w:tcPr>
            <w:tcW w:w="1094" w:type="dxa"/>
            <w:vAlign w:val="center"/>
          </w:tcPr>
          <w:p>
            <w:pPr>
              <w:snapToGrid w:val="0"/>
              <w:jc w:val="center"/>
              <w:rPr>
                <w:rFonts w:ascii="宋体" w:hAnsi="宋体"/>
                <w:szCs w:val="21"/>
              </w:rPr>
            </w:pPr>
            <w:r>
              <w:rPr>
                <w:rFonts w:hint="eastAsia" w:ascii="宋体" w:hAnsi="宋体"/>
                <w:szCs w:val="21"/>
              </w:rPr>
              <w:t>硫分</w:t>
            </w:r>
          </w:p>
        </w:tc>
        <w:tc>
          <w:tcPr>
            <w:tcW w:w="859" w:type="dxa"/>
            <w:vAlign w:val="center"/>
          </w:tcPr>
          <w:p>
            <w:pPr>
              <w:snapToGrid w:val="0"/>
              <w:jc w:val="center"/>
              <w:rPr>
                <w:rFonts w:ascii="宋体" w:hAnsi="宋体"/>
                <w:szCs w:val="21"/>
              </w:rPr>
            </w:pPr>
            <w:r>
              <w:rPr>
                <w:rFonts w:hint="eastAsia" w:ascii="宋体" w:hAnsi="宋体"/>
                <w:szCs w:val="21"/>
              </w:rPr>
              <w:t>灰熔点</w:t>
            </w:r>
          </w:p>
        </w:tc>
        <w:tc>
          <w:tcPr>
            <w:tcW w:w="953" w:type="dxa"/>
            <w:vAlign w:val="center"/>
          </w:tcPr>
          <w:p>
            <w:pPr>
              <w:snapToGrid w:val="0"/>
              <w:jc w:val="center"/>
              <w:rPr>
                <w:rFonts w:ascii="宋体" w:hAnsi="宋体"/>
                <w:szCs w:val="21"/>
              </w:rPr>
            </w:pPr>
            <w:r>
              <w:rPr>
                <w:rFonts w:hint="eastAsia" w:ascii="宋体" w:hAnsi="宋体"/>
                <w:szCs w:val="21"/>
              </w:rPr>
              <w:t>哈氏可磨系数</w:t>
            </w:r>
          </w:p>
        </w:tc>
        <w:tc>
          <w:tcPr>
            <w:tcW w:w="1026" w:type="dxa"/>
            <w:vAlign w:val="center"/>
          </w:tcPr>
          <w:p>
            <w:pPr>
              <w:snapToGrid w:val="0"/>
              <w:jc w:val="center"/>
              <w:rPr>
                <w:rFonts w:ascii="宋体" w:hAnsi="宋体"/>
                <w:szCs w:val="21"/>
              </w:rPr>
            </w:pPr>
            <w:r>
              <w:rPr>
                <w:rFonts w:hint="eastAsia" w:ascii="宋体" w:hAnsi="宋体"/>
                <w:szCs w:val="21"/>
              </w:rPr>
              <w:t>粒度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blHeader/>
          <w:jc w:val="center"/>
        </w:trPr>
        <w:tc>
          <w:tcPr>
            <w:tcW w:w="1184" w:type="dxa"/>
            <w:vMerge w:val="continue"/>
            <w:vAlign w:val="center"/>
          </w:tcPr>
          <w:p>
            <w:pPr>
              <w:snapToGrid w:val="0"/>
              <w:jc w:val="center"/>
              <w:rPr>
                <w:rFonts w:ascii="宋体" w:hAnsi="宋体"/>
                <w:szCs w:val="21"/>
              </w:rPr>
            </w:pPr>
          </w:p>
        </w:tc>
        <w:tc>
          <w:tcPr>
            <w:tcW w:w="1505" w:type="dxa"/>
            <w:vAlign w:val="center"/>
          </w:tcPr>
          <w:p>
            <w:pPr>
              <w:snapToGrid w:val="0"/>
              <w:jc w:val="center"/>
              <w:rPr>
                <w:rFonts w:ascii="宋体" w:hAnsi="宋体"/>
                <w:sz w:val="16"/>
                <w:szCs w:val="16"/>
              </w:rPr>
            </w:pPr>
            <w:r>
              <w:rPr>
                <w:rFonts w:hint="eastAsia" w:ascii="宋体" w:hAnsi="宋体"/>
                <w:sz w:val="16"/>
                <w:szCs w:val="16"/>
              </w:rPr>
              <w:t>Qnet,ar</w:t>
            </w:r>
          </w:p>
          <w:p>
            <w:pPr>
              <w:snapToGrid w:val="0"/>
              <w:jc w:val="center"/>
              <w:rPr>
                <w:rFonts w:ascii="宋体" w:hAnsi="宋体"/>
                <w:szCs w:val="21"/>
              </w:rPr>
            </w:pPr>
            <w:r>
              <w:rPr>
                <w:rFonts w:hint="eastAsia" w:ascii="宋体" w:hAnsi="宋体"/>
                <w:sz w:val="16"/>
                <w:szCs w:val="16"/>
              </w:rPr>
              <w:t>【(千卡/千克)/（兆焦/千克)】</w:t>
            </w:r>
          </w:p>
        </w:tc>
        <w:tc>
          <w:tcPr>
            <w:tcW w:w="858" w:type="dxa"/>
            <w:vAlign w:val="center"/>
          </w:tcPr>
          <w:p>
            <w:pPr>
              <w:snapToGrid w:val="0"/>
              <w:jc w:val="center"/>
              <w:rPr>
                <w:rFonts w:ascii="宋体" w:hAnsi="宋体"/>
                <w:sz w:val="16"/>
                <w:szCs w:val="16"/>
              </w:rPr>
            </w:pPr>
            <w:r>
              <w:rPr>
                <w:rFonts w:hint="eastAsia" w:ascii="宋体" w:hAnsi="宋体"/>
                <w:sz w:val="16"/>
                <w:szCs w:val="16"/>
              </w:rPr>
              <w:t>Mt</w:t>
            </w:r>
          </w:p>
          <w:p>
            <w:pPr>
              <w:snapToGrid w:val="0"/>
              <w:jc w:val="center"/>
              <w:rPr>
                <w:rFonts w:ascii="宋体" w:hAnsi="宋体"/>
                <w:szCs w:val="21"/>
              </w:rPr>
            </w:pPr>
            <w:r>
              <w:rPr>
                <w:rFonts w:hint="eastAsia" w:ascii="宋体" w:hAnsi="宋体"/>
                <w:sz w:val="16"/>
                <w:szCs w:val="16"/>
              </w:rPr>
              <w:t>（%）</w:t>
            </w:r>
          </w:p>
        </w:tc>
        <w:tc>
          <w:tcPr>
            <w:tcW w:w="858" w:type="dxa"/>
            <w:vAlign w:val="center"/>
          </w:tcPr>
          <w:p>
            <w:pPr>
              <w:snapToGrid w:val="0"/>
              <w:jc w:val="center"/>
              <w:rPr>
                <w:rFonts w:ascii="宋体" w:hAnsi="宋体"/>
                <w:sz w:val="16"/>
                <w:szCs w:val="16"/>
              </w:rPr>
            </w:pPr>
            <w:r>
              <w:rPr>
                <w:rFonts w:hint="eastAsia" w:ascii="宋体" w:hAnsi="宋体"/>
                <w:sz w:val="16"/>
                <w:szCs w:val="16"/>
              </w:rPr>
              <w:t>A【ad】</w:t>
            </w:r>
          </w:p>
          <w:p>
            <w:pPr>
              <w:snapToGrid w:val="0"/>
              <w:jc w:val="center"/>
              <w:rPr>
                <w:rFonts w:ascii="宋体" w:hAnsi="宋体"/>
                <w:szCs w:val="21"/>
              </w:rPr>
            </w:pPr>
            <w:r>
              <w:rPr>
                <w:rFonts w:hint="eastAsia" w:ascii="宋体" w:hAnsi="宋体"/>
                <w:sz w:val="16"/>
                <w:szCs w:val="16"/>
              </w:rPr>
              <w:t>（%）</w:t>
            </w:r>
          </w:p>
        </w:tc>
        <w:tc>
          <w:tcPr>
            <w:tcW w:w="858" w:type="dxa"/>
            <w:vAlign w:val="center"/>
          </w:tcPr>
          <w:p>
            <w:pPr>
              <w:snapToGrid w:val="0"/>
              <w:jc w:val="center"/>
              <w:rPr>
                <w:rFonts w:ascii="宋体" w:hAnsi="宋体"/>
                <w:sz w:val="16"/>
                <w:szCs w:val="16"/>
              </w:rPr>
            </w:pPr>
            <w:r>
              <w:rPr>
                <w:rFonts w:hint="eastAsia" w:ascii="宋体" w:hAnsi="宋体"/>
                <w:sz w:val="16"/>
                <w:szCs w:val="16"/>
              </w:rPr>
              <w:t>V【daf】</w:t>
            </w:r>
          </w:p>
          <w:p>
            <w:pPr>
              <w:snapToGrid w:val="0"/>
              <w:jc w:val="center"/>
              <w:rPr>
                <w:rFonts w:ascii="宋体" w:hAnsi="宋体"/>
                <w:szCs w:val="21"/>
              </w:rPr>
            </w:pPr>
            <w:r>
              <w:rPr>
                <w:rFonts w:hint="eastAsia" w:ascii="宋体" w:hAnsi="宋体"/>
                <w:sz w:val="16"/>
                <w:szCs w:val="16"/>
              </w:rPr>
              <w:t>（%）</w:t>
            </w:r>
          </w:p>
        </w:tc>
        <w:tc>
          <w:tcPr>
            <w:tcW w:w="1094" w:type="dxa"/>
            <w:vAlign w:val="center"/>
          </w:tcPr>
          <w:p>
            <w:pPr>
              <w:snapToGrid w:val="0"/>
              <w:jc w:val="center"/>
              <w:rPr>
                <w:rFonts w:ascii="宋体" w:hAnsi="宋体"/>
                <w:szCs w:val="21"/>
              </w:rPr>
            </w:pPr>
            <w:r>
              <w:rPr>
                <w:rFonts w:ascii="宋体" w:hAnsi="宋体"/>
                <w:sz w:val="16"/>
                <w:szCs w:val="16"/>
              </w:rPr>
              <w:t>St,</w:t>
            </w:r>
            <w:r>
              <w:rPr>
                <w:rFonts w:hint="eastAsia" w:ascii="宋体" w:hAnsi="宋体"/>
                <w:sz w:val="16"/>
                <w:szCs w:val="16"/>
              </w:rPr>
              <w:t>【</w:t>
            </w:r>
            <w:r>
              <w:rPr>
                <w:rFonts w:ascii="宋体" w:hAnsi="宋体"/>
                <w:sz w:val="16"/>
                <w:szCs w:val="16"/>
              </w:rPr>
              <w:t>ar</w:t>
            </w:r>
            <w:r>
              <w:rPr>
                <w:rFonts w:hint="eastAsia" w:ascii="宋体" w:hAnsi="宋体"/>
                <w:sz w:val="16"/>
                <w:szCs w:val="16"/>
              </w:rPr>
              <w:t>】（%）</w:t>
            </w:r>
          </w:p>
        </w:tc>
        <w:tc>
          <w:tcPr>
            <w:tcW w:w="859" w:type="dxa"/>
            <w:vAlign w:val="center"/>
          </w:tcPr>
          <w:p>
            <w:pPr>
              <w:snapToGrid w:val="0"/>
              <w:jc w:val="center"/>
              <w:rPr>
                <w:rFonts w:ascii="宋体" w:hAnsi="宋体"/>
                <w:sz w:val="16"/>
                <w:szCs w:val="16"/>
              </w:rPr>
            </w:pPr>
            <w:r>
              <w:rPr>
                <w:rFonts w:hint="eastAsia" w:ascii="宋体" w:hAnsi="宋体"/>
                <w:sz w:val="16"/>
                <w:szCs w:val="16"/>
              </w:rPr>
              <w:t>ST</w:t>
            </w:r>
          </w:p>
          <w:p>
            <w:pPr>
              <w:snapToGrid w:val="0"/>
              <w:jc w:val="center"/>
              <w:rPr>
                <w:rFonts w:ascii="宋体" w:hAnsi="宋体"/>
                <w:szCs w:val="21"/>
              </w:rPr>
            </w:pPr>
            <w:r>
              <w:rPr>
                <w:rFonts w:hint="eastAsia" w:ascii="宋体" w:hAnsi="宋体"/>
                <w:sz w:val="16"/>
                <w:szCs w:val="16"/>
              </w:rPr>
              <w:t>（℃）</w:t>
            </w:r>
          </w:p>
        </w:tc>
        <w:tc>
          <w:tcPr>
            <w:tcW w:w="953" w:type="dxa"/>
            <w:vAlign w:val="center"/>
          </w:tcPr>
          <w:p>
            <w:pPr>
              <w:snapToGrid w:val="0"/>
              <w:jc w:val="center"/>
              <w:rPr>
                <w:rFonts w:ascii="宋体" w:hAnsi="宋体"/>
                <w:sz w:val="16"/>
                <w:szCs w:val="16"/>
              </w:rPr>
            </w:pPr>
            <w:r>
              <w:rPr>
                <w:rFonts w:ascii="宋体" w:hAnsi="宋体"/>
                <w:sz w:val="16"/>
                <w:szCs w:val="16"/>
              </w:rPr>
              <w:t>HGI</w:t>
            </w:r>
          </w:p>
        </w:tc>
        <w:tc>
          <w:tcPr>
            <w:tcW w:w="1026" w:type="dxa"/>
            <w:vAlign w:val="center"/>
          </w:tcPr>
          <w:p>
            <w:pPr>
              <w:snapToGrid w:val="0"/>
              <w:jc w:val="center"/>
              <w:rPr>
                <w:rFonts w:ascii="宋体" w:hAnsi="宋体"/>
                <w:sz w:val="16"/>
                <w:szCs w:val="16"/>
              </w:rPr>
            </w:pPr>
            <w:r>
              <w:rPr>
                <w:rFonts w:hint="eastAsia" w:ascii="宋体" w:hAnsi="宋体"/>
                <w:sz w:val="16"/>
                <w:szCs w:val="16"/>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1184" w:type="dxa"/>
            <w:vAlign w:val="center"/>
          </w:tcPr>
          <w:p>
            <w:pPr>
              <w:snapToGrid w:val="0"/>
              <w:jc w:val="center"/>
              <w:rPr>
                <w:rFonts w:ascii="宋体" w:hAnsi="宋体"/>
                <w:szCs w:val="21"/>
              </w:rPr>
            </w:pPr>
          </w:p>
        </w:tc>
        <w:tc>
          <w:tcPr>
            <w:tcW w:w="1505"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1094" w:type="dxa"/>
            <w:vAlign w:val="center"/>
          </w:tcPr>
          <w:p>
            <w:pPr>
              <w:snapToGrid w:val="0"/>
              <w:jc w:val="center"/>
              <w:rPr>
                <w:rFonts w:ascii="宋体" w:hAnsi="宋体"/>
                <w:szCs w:val="21"/>
              </w:rPr>
            </w:pPr>
          </w:p>
        </w:tc>
        <w:tc>
          <w:tcPr>
            <w:tcW w:w="859" w:type="dxa"/>
            <w:vAlign w:val="center"/>
          </w:tcPr>
          <w:p>
            <w:pPr>
              <w:snapToGrid w:val="0"/>
              <w:jc w:val="center"/>
              <w:rPr>
                <w:rFonts w:ascii="宋体" w:hAnsi="宋体"/>
                <w:szCs w:val="21"/>
              </w:rPr>
            </w:pPr>
          </w:p>
        </w:tc>
        <w:tc>
          <w:tcPr>
            <w:tcW w:w="953" w:type="dxa"/>
            <w:vAlign w:val="center"/>
          </w:tcPr>
          <w:p>
            <w:pPr>
              <w:snapToGrid w:val="0"/>
              <w:jc w:val="center"/>
              <w:rPr>
                <w:rFonts w:ascii="宋体" w:hAnsi="宋体"/>
                <w:szCs w:val="21"/>
              </w:rPr>
            </w:pPr>
          </w:p>
        </w:tc>
        <w:tc>
          <w:tcPr>
            <w:tcW w:w="1026" w:type="dxa"/>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1184" w:type="dxa"/>
            <w:vAlign w:val="center"/>
          </w:tcPr>
          <w:p>
            <w:pPr>
              <w:snapToGrid w:val="0"/>
              <w:jc w:val="center"/>
              <w:rPr>
                <w:rFonts w:ascii="宋体" w:hAnsi="宋体"/>
                <w:szCs w:val="21"/>
              </w:rPr>
            </w:pPr>
          </w:p>
        </w:tc>
        <w:tc>
          <w:tcPr>
            <w:tcW w:w="1505"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1094" w:type="dxa"/>
            <w:vAlign w:val="center"/>
          </w:tcPr>
          <w:p>
            <w:pPr>
              <w:snapToGrid w:val="0"/>
              <w:jc w:val="center"/>
              <w:rPr>
                <w:rFonts w:ascii="宋体" w:hAnsi="宋体"/>
                <w:szCs w:val="21"/>
              </w:rPr>
            </w:pPr>
          </w:p>
        </w:tc>
        <w:tc>
          <w:tcPr>
            <w:tcW w:w="859" w:type="dxa"/>
            <w:vAlign w:val="center"/>
          </w:tcPr>
          <w:p>
            <w:pPr>
              <w:snapToGrid w:val="0"/>
              <w:jc w:val="center"/>
              <w:rPr>
                <w:rFonts w:ascii="宋体" w:hAnsi="宋体"/>
                <w:szCs w:val="21"/>
              </w:rPr>
            </w:pPr>
          </w:p>
        </w:tc>
        <w:tc>
          <w:tcPr>
            <w:tcW w:w="953" w:type="dxa"/>
            <w:vAlign w:val="center"/>
          </w:tcPr>
          <w:p>
            <w:pPr>
              <w:snapToGrid w:val="0"/>
              <w:jc w:val="center"/>
              <w:rPr>
                <w:rFonts w:ascii="宋体" w:hAnsi="宋体"/>
                <w:szCs w:val="21"/>
              </w:rPr>
            </w:pPr>
          </w:p>
        </w:tc>
        <w:tc>
          <w:tcPr>
            <w:tcW w:w="1026" w:type="dxa"/>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1184" w:type="dxa"/>
            <w:vAlign w:val="center"/>
          </w:tcPr>
          <w:p>
            <w:pPr>
              <w:snapToGrid w:val="0"/>
              <w:jc w:val="center"/>
              <w:rPr>
                <w:rFonts w:ascii="宋体" w:hAnsi="宋体"/>
                <w:szCs w:val="21"/>
              </w:rPr>
            </w:pPr>
          </w:p>
        </w:tc>
        <w:tc>
          <w:tcPr>
            <w:tcW w:w="1505"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858" w:type="dxa"/>
            <w:vAlign w:val="center"/>
          </w:tcPr>
          <w:p>
            <w:pPr>
              <w:snapToGrid w:val="0"/>
              <w:jc w:val="center"/>
              <w:rPr>
                <w:rFonts w:ascii="宋体" w:hAnsi="宋体"/>
                <w:szCs w:val="21"/>
              </w:rPr>
            </w:pPr>
          </w:p>
        </w:tc>
        <w:tc>
          <w:tcPr>
            <w:tcW w:w="1094" w:type="dxa"/>
            <w:vAlign w:val="center"/>
          </w:tcPr>
          <w:p>
            <w:pPr>
              <w:snapToGrid w:val="0"/>
              <w:jc w:val="center"/>
              <w:rPr>
                <w:rFonts w:ascii="宋体" w:hAnsi="宋体"/>
                <w:szCs w:val="21"/>
              </w:rPr>
            </w:pPr>
          </w:p>
        </w:tc>
        <w:tc>
          <w:tcPr>
            <w:tcW w:w="859" w:type="dxa"/>
            <w:vAlign w:val="center"/>
          </w:tcPr>
          <w:p>
            <w:pPr>
              <w:snapToGrid w:val="0"/>
              <w:jc w:val="center"/>
              <w:rPr>
                <w:rFonts w:ascii="宋体" w:hAnsi="宋体"/>
                <w:szCs w:val="21"/>
              </w:rPr>
            </w:pPr>
          </w:p>
        </w:tc>
        <w:tc>
          <w:tcPr>
            <w:tcW w:w="953" w:type="dxa"/>
            <w:vAlign w:val="center"/>
          </w:tcPr>
          <w:p>
            <w:pPr>
              <w:snapToGrid w:val="0"/>
              <w:jc w:val="center"/>
              <w:rPr>
                <w:rFonts w:ascii="宋体" w:hAnsi="宋体"/>
                <w:szCs w:val="21"/>
              </w:rPr>
            </w:pPr>
          </w:p>
        </w:tc>
        <w:tc>
          <w:tcPr>
            <w:tcW w:w="1026" w:type="dxa"/>
            <w:vAlign w:val="center"/>
          </w:tcPr>
          <w:p>
            <w:pPr>
              <w:snapToGrid w:val="0"/>
              <w:jc w:val="center"/>
              <w:rPr>
                <w:rFonts w:ascii="宋体" w:hAnsi="宋体"/>
                <w:szCs w:val="21"/>
              </w:rPr>
            </w:pPr>
          </w:p>
        </w:tc>
      </w:tr>
    </w:tbl>
    <w:p>
      <w:pPr>
        <w:ind w:firstLine="480" w:firstLineChars="200"/>
        <w:rPr>
          <w:rFonts w:ascii="宋体" w:hAnsi="宋体"/>
          <w:sz w:val="24"/>
        </w:rPr>
      </w:pPr>
      <w:r>
        <w:rPr>
          <w:rFonts w:hint="eastAsia" w:ascii="宋体" w:hAnsi="宋体"/>
          <w:sz w:val="24"/>
        </w:rPr>
        <w:t>所供煤炭中不得含有任何对卸输煤设施、煤炭制粉系统及燃烧设备造成意外损坏的物质，由此造成的相应损失由卖方承担。符合下列条件的，买方有权拒收并终止合同：</w:t>
      </w:r>
    </w:p>
    <w:p>
      <w:pPr>
        <w:ind w:firstLine="480" w:firstLineChars="200"/>
        <w:rPr>
          <w:rFonts w:ascii="宋体" w:hAnsi="宋体"/>
          <w:sz w:val="24"/>
        </w:rPr>
      </w:pPr>
      <w:r>
        <w:rPr>
          <w:rFonts w:hint="eastAsia" w:ascii="宋体" w:hAnsi="宋体"/>
          <w:sz w:val="24"/>
        </w:rPr>
        <w:t>【】</w:t>
      </w:r>
    </w:p>
    <w:p>
      <w:pPr>
        <w:spacing w:line="500" w:lineRule="exact"/>
        <w:ind w:firstLine="482"/>
        <w:outlineLvl w:val="0"/>
        <w:rPr>
          <w:rFonts w:hint="eastAsia" w:ascii="宋体" w:hAnsi="宋体"/>
          <w:b/>
          <w:sz w:val="24"/>
        </w:rPr>
      </w:pPr>
      <w:r>
        <w:rPr>
          <w:rFonts w:hint="eastAsia" w:ascii="宋体" w:hAnsi="宋体"/>
          <w:b/>
          <w:sz w:val="24"/>
        </w:rPr>
        <w:t>二、</w:t>
      </w:r>
      <w:r>
        <w:rPr>
          <w:rFonts w:hint="eastAsia" w:ascii="宋体" w:hAnsi="宋体"/>
          <w:b/>
          <w:sz w:val="24"/>
        </w:rPr>
        <w:tab/>
      </w:r>
      <w:r>
        <w:rPr>
          <w:rFonts w:hint="eastAsia" w:ascii="宋体" w:hAnsi="宋体"/>
          <w:b/>
          <w:sz w:val="24"/>
        </w:rPr>
        <w:t>运输方式</w:t>
      </w:r>
    </w:p>
    <w:p>
      <w:pPr>
        <w:ind w:firstLine="480"/>
        <w:rPr>
          <w:sz w:val="24"/>
        </w:rPr>
      </w:pPr>
      <w:r>
        <w:rPr>
          <w:sz w:val="24"/>
        </w:rPr>
        <w:t>1.</w:t>
      </w:r>
      <w:r>
        <w:rPr>
          <w:sz w:val="24"/>
        </w:rPr>
        <w:tab/>
      </w:r>
      <w:r>
        <w:rPr>
          <w:rFonts w:hint="eastAsia"/>
          <w:sz w:val="24"/>
        </w:rPr>
        <w:t>运输：</w:t>
      </w:r>
      <w:r>
        <w:rPr>
          <w:rFonts w:hint="eastAsia" w:ascii="宋体" w:hAnsi="宋体"/>
          <w:sz w:val="24"/>
        </w:rPr>
        <w:t>本合同项下煤炭的运输由【卖方】组织，托运人为【卖方/其他发货人】，并以【</w:t>
      </w:r>
      <w:r>
        <w:rPr>
          <w:rFonts w:hint="eastAsia"/>
          <w:sz w:val="24"/>
        </w:rPr>
        <w:t>汽车/火车/皮带/水运等</w:t>
      </w:r>
      <w:r>
        <w:rPr>
          <w:rFonts w:hint="eastAsia" w:ascii="宋体" w:hAnsi="宋体"/>
          <w:sz w:val="24"/>
        </w:rPr>
        <w:t>】</w:t>
      </w:r>
      <w:r>
        <w:rPr>
          <w:rFonts w:hint="eastAsia"/>
          <w:sz w:val="24"/>
        </w:rPr>
        <w:t>运输的方式运至合同约定的交货地点。</w:t>
      </w:r>
    </w:p>
    <w:p>
      <w:pPr>
        <w:ind w:firstLine="480"/>
        <w:rPr>
          <w:sz w:val="24"/>
        </w:rPr>
      </w:pPr>
      <w:r>
        <w:rPr>
          <w:rFonts w:hint="eastAsia"/>
          <w:sz w:val="24"/>
        </w:rPr>
        <w:t>如卖方与发货人不一致，卖方需向买方提供由发货人出具的发运煤炭权属的证明材料，作为本合同的有效结算附件。</w:t>
      </w:r>
    </w:p>
    <w:p>
      <w:pPr>
        <w:ind w:firstLine="480"/>
        <w:rPr>
          <w:sz w:val="24"/>
        </w:rPr>
      </w:pPr>
      <w:r>
        <w:rPr>
          <w:rFonts w:hint="eastAsia"/>
          <w:sz w:val="24"/>
        </w:rPr>
        <w:t>卖方负责汽车运输时，运输车辆必须符合《中华人民共和国道路交通安全法》和国家有关排放标准，并遵守买方的调度和指挥。</w:t>
      </w:r>
    </w:p>
    <w:p>
      <w:pPr>
        <w:ind w:firstLine="480"/>
        <w:rPr>
          <w:sz w:val="24"/>
        </w:rPr>
      </w:pPr>
      <w:r>
        <w:rPr>
          <w:rFonts w:hint="eastAsia"/>
          <w:sz w:val="24"/>
        </w:rPr>
        <w:t>卖方选择水运运输时，运输船只应符合《国内水路运输管理条例》《老旧运输船舶管理规定》和国家有关水路营运的相关规定。</w:t>
      </w:r>
    </w:p>
    <w:p>
      <w:pPr>
        <w:ind w:firstLine="480"/>
        <w:rPr>
          <w:sz w:val="24"/>
        </w:rPr>
      </w:pPr>
      <w:r>
        <w:rPr>
          <w:sz w:val="24"/>
        </w:rPr>
        <w:t xml:space="preserve">2. </w:t>
      </w:r>
      <w:r>
        <w:rPr>
          <w:rFonts w:hint="eastAsia"/>
          <w:sz w:val="24"/>
        </w:rPr>
        <w:t>风险分担：除本合同另有约定外，在货物交付买方之前，煤炭所有权归卖方所有，其毁损、灭失的风险及损失由卖方承担。在货物交付买方后起，煤炭所有权转归买方所有，其毁损、灭失的风险及损失由买方承担。</w:t>
      </w:r>
    </w:p>
    <w:p>
      <w:pPr>
        <w:ind w:firstLine="480"/>
        <w:rPr>
          <w:sz w:val="24"/>
        </w:rPr>
      </w:pPr>
      <w:r>
        <w:rPr>
          <w:rFonts w:hint="eastAsia"/>
          <w:sz w:val="24"/>
        </w:rPr>
        <w:t>3.费用承担：在货物交付买方之前，有关本合同项下煤炭的一切费用（包括但不限于堆存费、仓储等费用）由卖方承担；在货物交付买方后，有关煤炭的一切费用由买方承担。</w:t>
      </w:r>
    </w:p>
    <w:p>
      <w:pPr>
        <w:spacing w:line="500" w:lineRule="exact"/>
        <w:ind w:firstLine="482"/>
        <w:outlineLvl w:val="0"/>
        <w:rPr>
          <w:rFonts w:hint="eastAsia" w:ascii="宋体" w:hAnsi="宋体"/>
          <w:b/>
          <w:sz w:val="24"/>
        </w:rPr>
      </w:pPr>
      <w:r>
        <w:rPr>
          <w:rFonts w:hint="eastAsia" w:ascii="宋体" w:hAnsi="宋体"/>
          <w:b/>
          <w:sz w:val="24"/>
        </w:rPr>
        <w:t>三、</w:t>
      </w:r>
      <w:r>
        <w:rPr>
          <w:rFonts w:hint="eastAsia" w:ascii="宋体" w:hAnsi="宋体"/>
          <w:b/>
          <w:sz w:val="24"/>
        </w:rPr>
        <w:tab/>
      </w:r>
      <w:r>
        <w:rPr>
          <w:rFonts w:hint="eastAsia" w:ascii="宋体" w:hAnsi="宋体"/>
          <w:b/>
          <w:sz w:val="24"/>
        </w:rPr>
        <w:t>数量及质量验收</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数量以吨为计量单位，【保留到个位/四舍五入保留两位小数】，以【买方/第三方】【汽车衡/轨道衡/皮带秤/水尺】计量结果为初步验收依据；质量以【买方/第三方】化验结果为初步验收依据（按照国家标准采样、制样、化验）。</w:t>
      </w:r>
    </w:p>
    <w:p>
      <w:pPr>
        <w:ind w:firstLine="480" w:firstLineChars="200"/>
        <w:rPr>
          <w:rFonts w:ascii="宋体" w:hAnsi="宋体"/>
          <w:sz w:val="24"/>
        </w:rPr>
      </w:pPr>
      <w:r>
        <w:rPr>
          <w:rFonts w:hint="eastAsia" w:ascii="宋体" w:hAnsi="宋体"/>
          <w:sz w:val="24"/>
        </w:rPr>
        <w:t>【买方/卖方/第三方】有权对数量及质量验收过程进行监督，但不得影响和干预【买方/卖方/第三方】验收工作，必要时可与【买方/卖方/第三方】联合验收。</w:t>
      </w:r>
    </w:p>
    <w:p>
      <w:pPr>
        <w:ind w:firstLine="48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以【卖方（或第三方）】数量、质量为初步验收依据的，检验偏差超过以下标准时，买方可向卖方提出索赔：</w:t>
      </w:r>
    </w:p>
    <w:p>
      <w:pPr>
        <w:ind w:firstLine="480"/>
        <w:rPr>
          <w:sz w:val="24"/>
        </w:rPr>
      </w:pPr>
      <w:r>
        <w:rPr>
          <w:sz w:val="24"/>
        </w:rPr>
        <w:t>（1）</w:t>
      </w:r>
      <w:r>
        <w:rPr>
          <w:sz w:val="24"/>
        </w:rPr>
        <w:tab/>
      </w:r>
      <w:r>
        <w:rPr>
          <w:rFonts w:hint="eastAsia"/>
          <w:sz w:val="24"/>
        </w:rPr>
        <w:t>索赔标准：</w:t>
      </w:r>
    </w:p>
    <w:p>
      <w:pPr>
        <w:ind w:firstLine="480"/>
        <w:rPr>
          <w:rFonts w:ascii="宋体" w:hAnsi="宋体"/>
          <w:sz w:val="24"/>
        </w:rPr>
      </w:pPr>
      <w:r>
        <w:rPr>
          <w:rFonts w:hint="eastAsia" w:ascii="宋体" w:hAnsi="宋体"/>
          <w:sz w:val="24"/>
        </w:rPr>
        <w:t>数量标准：双方检斤偏差（即：（卖方数量-买方数量）/卖方数量）不超过【汽车运损：1%；火车运损：1.2%；水运运损双方约定值】%；</w:t>
      </w:r>
    </w:p>
    <w:p>
      <w:pPr>
        <w:spacing w:line="380" w:lineRule="exact"/>
        <w:ind w:firstLine="480" w:firstLineChars="200"/>
        <w:rPr>
          <w:rFonts w:ascii="宋体" w:hAnsi="宋体"/>
          <w:sz w:val="24"/>
        </w:rPr>
      </w:pPr>
      <w:r>
        <w:rPr>
          <w:rFonts w:hint="eastAsia" w:ascii="宋体" w:hAnsi="宋体"/>
          <w:sz w:val="24"/>
        </w:rPr>
        <w:t>质量标准：双方检质（低位发热量）偏差（即：卖方质量-买方质量）不超过【】大卡/千克。</w:t>
      </w:r>
    </w:p>
    <w:p>
      <w:pPr>
        <w:ind w:firstLine="480"/>
        <w:rPr>
          <w:sz w:val="24"/>
        </w:rPr>
      </w:pPr>
      <w:r>
        <w:rPr>
          <w:sz w:val="24"/>
        </w:rPr>
        <w:t>（2）</w:t>
      </w:r>
      <w:r>
        <w:rPr>
          <w:sz w:val="24"/>
        </w:rPr>
        <w:tab/>
      </w:r>
      <w:r>
        <w:rPr>
          <w:rFonts w:hint="eastAsia"/>
          <w:sz w:val="24"/>
        </w:rPr>
        <w:t>索赔处理：双方同意按以下方式【】执行。</w:t>
      </w:r>
    </w:p>
    <w:p>
      <w:pPr>
        <w:ind w:firstLine="480" w:firstLineChars="200"/>
        <w:rPr>
          <w:rFonts w:ascii="宋体" w:hAnsi="宋体"/>
          <w:sz w:val="24"/>
        </w:rPr>
      </w:pPr>
      <w:r>
        <w:rPr>
          <w:rFonts w:hint="eastAsia" w:ascii="宋体" w:hAnsi="宋体"/>
          <w:sz w:val="24"/>
        </w:rPr>
        <w:t>方式1：偏差超标部分不予结算。买卖双方检验数据偏差（卖方检验数据-买方检验数据）超出合同约定索赔标准的部分，买方全部不予结算付款，由卖方自行承担。</w:t>
      </w:r>
    </w:p>
    <w:p>
      <w:pPr>
        <w:ind w:firstLine="480" w:firstLineChars="200"/>
        <w:rPr>
          <w:rFonts w:ascii="宋体" w:hAnsi="宋体"/>
          <w:sz w:val="24"/>
        </w:rPr>
      </w:pPr>
      <w:r>
        <w:rPr>
          <w:rFonts w:hint="eastAsia" w:ascii="宋体" w:hAnsi="宋体"/>
          <w:sz w:val="24"/>
        </w:rPr>
        <w:t>方式2：共同检验。买卖双方检验数据偏差（卖方检验数据-买方检验数据）超出合同约定索赔标准的，双方共同对买方已收到的煤炭（单独存放）在【买方】进行采样、制样和化验，并以共同检验结果进行验收结算。</w:t>
      </w:r>
    </w:p>
    <w:p>
      <w:pPr>
        <w:ind w:firstLine="480" w:firstLineChars="200"/>
        <w:rPr>
          <w:rFonts w:ascii="宋体" w:hAnsi="宋体"/>
          <w:sz w:val="24"/>
        </w:rPr>
      </w:pPr>
      <w:r>
        <w:rPr>
          <w:rFonts w:hint="eastAsia" w:ascii="宋体" w:hAnsi="宋体"/>
          <w:sz w:val="24"/>
        </w:rPr>
        <w:t>方式3：第三方复检。买卖双方检验数据偏差（卖方检验数据-买方检验数据）超出合同约定索赔标准的，双方共同委托具备相应资质的第三方对买方已收到的煤炭（单独存放）进行采样、制样和化验，并以此检验结果进行验收结算。</w:t>
      </w:r>
    </w:p>
    <w:p>
      <w:pPr>
        <w:ind w:firstLine="480" w:firstLineChars="200"/>
        <w:rPr>
          <w:rFonts w:ascii="宋体" w:hAnsi="宋体"/>
          <w:sz w:val="24"/>
        </w:rPr>
      </w:pPr>
      <w:r>
        <w:rPr>
          <w:rFonts w:hint="eastAsia" w:ascii="宋体" w:hAnsi="宋体"/>
          <w:sz w:val="24"/>
        </w:rPr>
        <w:t>方式4：加权计算。买方、卖方（或第三方）数据按一定比例（【】: 【】）加权计算结果进行验收结算。</w:t>
      </w:r>
    </w:p>
    <w:p>
      <w:pPr>
        <w:ind w:firstLine="48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以【买方】数量、质量为初步验收依据的，如卖方对验收结果有异议，应在接到该批次验收结果【】个工作日内提出书面异议，经协商后可委托具有省级及以上质量技术监督机构授权资质的第三方煤质检验机构进行复检，买、卖双方以复检结果进行最终验收结算。如卖方未在规定时间内提出书面异议，则该验收结果即作为最终验收结算依据。</w:t>
      </w:r>
    </w:p>
    <w:p>
      <w:pPr>
        <w:ind w:firstLine="48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检验费用：数量检测费用由【】承担，质量检测费用由【】承担。发生复检时，复检费用由买、卖双方主张的检验结果与最终复检结果偏差较大的一方承担，若偏差相同，则复检费用由提出异议方承担。</w:t>
      </w:r>
    </w:p>
    <w:p>
      <w:pPr>
        <w:ind w:firstLine="480"/>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双方约定的其他条款：</w:t>
      </w:r>
    </w:p>
    <w:p>
      <w:pPr>
        <w:ind w:firstLine="480"/>
        <w:rPr>
          <w:rFonts w:ascii="宋体" w:hAnsi="宋体"/>
          <w:sz w:val="24"/>
        </w:rPr>
      </w:pPr>
      <w:r>
        <w:rPr>
          <w:rFonts w:hint="eastAsia" w:ascii="宋体" w:hAnsi="宋体"/>
          <w:sz w:val="24"/>
        </w:rPr>
        <w:t>【（1）卖方应熟知和遵守买方验收相关制度或标准（见附件），掺杂使假或违反附件所列制度或标准的责任由卖方承担。】</w:t>
      </w:r>
    </w:p>
    <w:p>
      <w:pPr>
        <w:ind w:firstLine="480"/>
        <w:rPr>
          <w:rFonts w:ascii="宋体" w:hAnsi="宋体"/>
          <w:sz w:val="24"/>
        </w:rPr>
      </w:pPr>
      <w:r>
        <w:rPr>
          <w:rFonts w:hint="eastAsia" w:ascii="宋体" w:hAnsi="宋体"/>
          <w:sz w:val="24"/>
        </w:rPr>
        <w:t>【（2）数量以轨道衡衡量重量的，车皮自重以收货人轨道衡车号识别系统识别的重量为准。】</w:t>
      </w:r>
    </w:p>
    <w:p>
      <w:pPr>
        <w:spacing w:line="500" w:lineRule="exact"/>
        <w:ind w:firstLine="482"/>
        <w:outlineLvl w:val="0"/>
        <w:rPr>
          <w:rFonts w:hint="eastAsia" w:ascii="宋体" w:hAnsi="宋体"/>
          <w:b/>
          <w:sz w:val="24"/>
        </w:rPr>
      </w:pPr>
      <w:r>
        <w:rPr>
          <w:rFonts w:hint="eastAsia" w:ascii="宋体" w:hAnsi="宋体"/>
          <w:b/>
          <w:sz w:val="24"/>
        </w:rPr>
        <w:t>四、合同价格</w:t>
      </w:r>
    </w:p>
    <w:p>
      <w:pPr>
        <w:snapToGrid w:val="0"/>
        <w:ind w:firstLine="480"/>
        <w:rPr>
          <w:rFonts w:ascii="宋体" w:hAnsi="宋体"/>
          <w:sz w:val="24"/>
        </w:rPr>
      </w:pPr>
      <w:r>
        <w:rPr>
          <w:rFonts w:hint="eastAsia" w:ascii="宋体" w:hAnsi="宋体"/>
          <w:b/>
          <w:sz w:val="24"/>
        </w:rPr>
        <w:t xml:space="preserve"> </w:t>
      </w:r>
      <w:r>
        <w:rPr>
          <w:rFonts w:hint="eastAsia" w:ascii="宋体" w:hAnsi="宋体"/>
          <w:sz w:val="24"/>
        </w:rPr>
        <w:t>(一)</w:t>
      </w:r>
      <w:r>
        <w:rPr>
          <w:rFonts w:hint="eastAsia" w:ascii="宋体" w:hAnsi="宋体"/>
          <w:sz w:val="24"/>
        </w:rPr>
        <w:tab/>
      </w:r>
      <w:r>
        <w:rPr>
          <w:rFonts w:hint="eastAsia" w:ascii="宋体" w:hAnsi="宋体"/>
          <w:sz w:val="24"/>
        </w:rPr>
        <w:t>合同价格=煤价+运费+杂费</w:t>
      </w:r>
    </w:p>
    <w:p>
      <w:pPr>
        <w:ind w:firstLine="480"/>
        <w:rPr>
          <w:rFonts w:ascii="宋体" w:hAnsi="宋体"/>
          <w:sz w:val="24"/>
        </w:rPr>
      </w:pPr>
      <w:r>
        <w:rPr>
          <w:rFonts w:ascii="宋体" w:hAnsi="宋体"/>
          <w:sz w:val="24"/>
        </w:rPr>
        <w:t>1.</w:t>
      </w:r>
      <w:r>
        <w:rPr>
          <w:rFonts w:ascii="宋体" w:hAnsi="宋体"/>
          <w:sz w:val="24"/>
        </w:rPr>
        <w:tab/>
      </w:r>
      <w:r>
        <w:rPr>
          <w:rFonts w:hint="eastAsia" w:ascii="宋体" w:hAnsi="宋体"/>
          <w:sz w:val="24"/>
        </w:rPr>
        <w:t>煤价（含增值税，增值税税率为【】），采用【单卡计价/按吨计价】方式</w:t>
      </w:r>
    </w:p>
    <w:p>
      <w:pPr>
        <w:ind w:firstLine="480" w:firstLineChars="200"/>
        <w:rPr>
          <w:rFonts w:ascii="宋体" w:hAnsi="宋体"/>
          <w:sz w:val="24"/>
        </w:rPr>
      </w:pPr>
      <w:r>
        <w:rPr>
          <w:rFonts w:hint="eastAsia" w:ascii="宋体" w:hAnsi="宋体"/>
          <w:sz w:val="24"/>
        </w:rPr>
        <w:t>煤价=基准价格+质量调整价+数量调整价+其他因素调整价</w:t>
      </w:r>
    </w:p>
    <w:p>
      <w:pPr>
        <w:ind w:firstLine="40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基准价格：质量指标符合本合同第一条第</w:t>
      </w:r>
      <w:r>
        <w:rPr>
          <w:rFonts w:ascii="宋体" w:hAnsi="宋体"/>
          <w:sz w:val="24"/>
        </w:rPr>
        <w:t>3</w:t>
      </w:r>
      <w:r>
        <w:rPr>
          <w:rFonts w:hint="eastAsia" w:ascii="宋体" w:hAnsi="宋体"/>
          <w:sz w:val="24"/>
        </w:rPr>
        <w:t>项约定标准的煤炭到厂交货含税基准价格，具体如下：</w:t>
      </w:r>
    </w:p>
    <w:tbl>
      <w:tblPr>
        <w:tblStyle w:val="24"/>
        <w:tblW w:w="87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676"/>
        <w:gridCol w:w="2066"/>
        <w:gridCol w:w="1250"/>
        <w:gridCol w:w="2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12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品名/煤种</w:t>
            </w:r>
          </w:p>
        </w:tc>
        <w:tc>
          <w:tcPr>
            <w:tcW w:w="16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热值范围</w:t>
            </w:r>
          </w:p>
          <w:p>
            <w:pPr>
              <w:snapToGrid w:val="0"/>
              <w:jc w:val="center"/>
              <w:rPr>
                <w:rFonts w:ascii="宋体" w:hAnsi="宋体"/>
                <w:szCs w:val="21"/>
              </w:rPr>
            </w:pPr>
            <w:r>
              <w:rPr>
                <w:rFonts w:hint="eastAsia" w:ascii="宋体" w:hAnsi="宋体"/>
                <w:szCs w:val="21"/>
              </w:rPr>
              <w:t>【(千卡/千克)/（兆焦/千克)】</w:t>
            </w: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热值基准价格</w:t>
            </w:r>
          </w:p>
        </w:tc>
        <w:tc>
          <w:tcPr>
            <w:tcW w:w="12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2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基准价格公式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12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6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【（元</w:t>
            </w:r>
            <w:r>
              <w:rPr>
                <w:rFonts w:ascii="宋体" w:hAnsi="宋体"/>
                <w:szCs w:val="21"/>
              </w:rPr>
              <w:t>/</w:t>
            </w:r>
            <w:r>
              <w:rPr>
                <w:rFonts w:hint="eastAsia" w:ascii="宋体" w:hAnsi="宋体"/>
                <w:szCs w:val="21"/>
              </w:rPr>
              <w:t>[(千卡/千克)×吨]）或（元</w:t>
            </w:r>
            <w:r>
              <w:rPr>
                <w:rFonts w:ascii="宋体" w:hAnsi="宋体"/>
                <w:szCs w:val="21"/>
              </w:rPr>
              <w:t>/</w:t>
            </w:r>
            <w:r>
              <w:rPr>
                <w:rFonts w:hint="eastAsia" w:ascii="宋体" w:hAnsi="宋体"/>
                <w:szCs w:val="21"/>
              </w:rPr>
              <w:t>[（兆焦/千克)×吨）]）】</w:t>
            </w:r>
          </w:p>
        </w:tc>
        <w:tc>
          <w:tcPr>
            <w:tcW w:w="12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【单批次/天/月/合同周期】</w:t>
            </w:r>
          </w:p>
        </w:tc>
        <w:tc>
          <w:tcPr>
            <w:tcW w:w="2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收到基加权低位发热量×热值基准价格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12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6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【（元</w:t>
            </w:r>
            <w:r>
              <w:rPr>
                <w:rFonts w:ascii="宋体" w:hAnsi="宋体"/>
                <w:szCs w:val="21"/>
              </w:rPr>
              <w:t>/</w:t>
            </w:r>
            <w:r>
              <w:rPr>
                <w:rFonts w:hint="eastAsia" w:ascii="宋体" w:hAnsi="宋体"/>
                <w:szCs w:val="21"/>
              </w:rPr>
              <w:t>吨）】</w:t>
            </w:r>
          </w:p>
        </w:tc>
        <w:tc>
          <w:tcPr>
            <w:tcW w:w="12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 xml:space="preserve">固定价格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12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6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2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××指数+浮动价格</w:t>
            </w:r>
          </w:p>
        </w:tc>
      </w:tr>
    </w:tbl>
    <w:p>
      <w:pPr>
        <w:ind w:left="900" w:hanging="42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质量调整价：</w:t>
      </w:r>
    </w:p>
    <w:p>
      <w:pPr>
        <w:ind w:firstLine="480" w:firstLineChars="200"/>
        <w:rPr>
          <w:rFonts w:ascii="宋体" w:hAnsi="宋体"/>
          <w:sz w:val="24"/>
        </w:rPr>
      </w:pPr>
      <w:r>
        <w:rPr>
          <w:rFonts w:hint="eastAsia" w:ascii="宋体" w:hAnsi="宋体"/>
          <w:sz w:val="24"/>
        </w:rPr>
        <w:t>①发热量指标以本合同第一条第4项约定的各品种“煤炭质量”为基准，在约定范围内的，按照品种基准价格/相应基准发热量进行加价或减价。超出约定范围的，按照以下方式调整价格：</w:t>
      </w:r>
    </w:p>
    <w:tbl>
      <w:tblPr>
        <w:tblStyle w:val="24"/>
        <w:tblW w:w="90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807"/>
        <w:gridCol w:w="1036"/>
        <w:gridCol w:w="932"/>
        <w:gridCol w:w="1679"/>
        <w:gridCol w:w="1056"/>
        <w:gridCol w:w="867"/>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06"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r>
              <w:rPr>
                <w:rFonts w:hint="eastAsia" w:ascii="宋体" w:hAnsi="宋体"/>
                <w:szCs w:val="21"/>
              </w:rPr>
              <w:t>品名/煤种</w:t>
            </w:r>
          </w:p>
        </w:tc>
        <w:tc>
          <w:tcPr>
            <w:tcW w:w="80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煤质指标</w:t>
            </w:r>
          </w:p>
        </w:tc>
        <w:tc>
          <w:tcPr>
            <w:tcW w:w="103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指标范围</w:t>
            </w:r>
          </w:p>
        </w:tc>
        <w:tc>
          <w:tcPr>
            <w:tcW w:w="93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变化幅度</w:t>
            </w:r>
          </w:p>
        </w:tc>
        <w:tc>
          <w:tcPr>
            <w:tcW w:w="16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价格增减额</w:t>
            </w:r>
          </w:p>
          <w:p>
            <w:pPr>
              <w:snapToGrid w:val="0"/>
              <w:jc w:val="center"/>
              <w:rPr>
                <w:rFonts w:ascii="宋体" w:hAnsi="宋体"/>
                <w:szCs w:val="21"/>
              </w:rPr>
            </w:pPr>
            <w:r>
              <w:rPr>
                <w:rFonts w:hint="eastAsia" w:ascii="宋体" w:hAnsi="宋体"/>
                <w:szCs w:val="21"/>
              </w:rPr>
              <w:t>（价格或比例）</w:t>
            </w:r>
          </w:p>
        </w:tc>
        <w:tc>
          <w:tcPr>
            <w:tcW w:w="1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增减基准</w:t>
            </w:r>
          </w:p>
        </w:tc>
        <w:tc>
          <w:tcPr>
            <w:tcW w:w="86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190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质量调整价公式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06"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r>
              <w:rPr>
                <w:rFonts w:hint="eastAsia" w:ascii="宋体" w:hAnsi="宋体"/>
                <w:szCs w:val="21"/>
              </w:rPr>
              <w:t>【空白为不限定，下同】</w:t>
            </w:r>
          </w:p>
        </w:tc>
        <w:tc>
          <w:tcPr>
            <w:tcW w:w="80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【热值】</w:t>
            </w:r>
          </w:p>
        </w:tc>
        <w:tc>
          <w:tcPr>
            <w:tcW w:w="103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【4</w:t>
            </w:r>
            <w:r>
              <w:rPr>
                <w:rFonts w:ascii="宋体" w:hAnsi="宋体"/>
                <w:szCs w:val="21"/>
              </w:rPr>
              <w:t>500-4800</w:t>
            </w:r>
            <w:r>
              <w:rPr>
                <w:rFonts w:hint="eastAsia" w:ascii="宋体" w:hAnsi="宋体"/>
                <w:szCs w:val="21"/>
              </w:rPr>
              <w:t>】</w:t>
            </w:r>
          </w:p>
        </w:tc>
        <w:tc>
          <w:tcPr>
            <w:tcW w:w="93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【1千卡</w:t>
            </w:r>
            <w:r>
              <w:rPr>
                <w:rFonts w:ascii="宋体" w:hAnsi="宋体"/>
                <w:szCs w:val="21"/>
              </w:rPr>
              <w:t>/</w:t>
            </w:r>
            <w:r>
              <w:rPr>
                <w:rFonts w:hint="eastAsia" w:ascii="宋体" w:hAnsi="宋体"/>
                <w:szCs w:val="21"/>
              </w:rPr>
              <w:t>千克】</w:t>
            </w:r>
          </w:p>
        </w:tc>
        <w:tc>
          <w:tcPr>
            <w:tcW w:w="16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【0</w:t>
            </w:r>
            <w:r>
              <w:rPr>
                <w:rFonts w:ascii="宋体" w:hAnsi="宋体"/>
                <w:szCs w:val="21"/>
              </w:rPr>
              <w:t>.01</w:t>
            </w:r>
            <w:r>
              <w:rPr>
                <w:rFonts w:hint="eastAsia" w:ascii="宋体" w:hAnsi="宋体"/>
                <w:szCs w:val="21"/>
              </w:rPr>
              <w:t>元</w:t>
            </w:r>
            <w:r>
              <w:rPr>
                <w:rFonts w:ascii="宋体" w:hAnsi="宋体"/>
                <w:szCs w:val="21"/>
              </w:rPr>
              <w:t>/</w:t>
            </w:r>
            <w:r>
              <w:rPr>
                <w:rFonts w:hint="eastAsia" w:ascii="宋体" w:hAnsi="宋体"/>
                <w:szCs w:val="21"/>
              </w:rPr>
              <w:t>[(千卡/千克)×吨]】</w:t>
            </w:r>
          </w:p>
          <w:p>
            <w:pPr>
              <w:snapToGrid w:val="0"/>
              <w:jc w:val="center"/>
              <w:rPr>
                <w:rFonts w:ascii="宋体" w:hAnsi="宋体"/>
                <w:szCs w:val="21"/>
              </w:rPr>
            </w:pPr>
          </w:p>
        </w:tc>
        <w:tc>
          <w:tcPr>
            <w:tcW w:w="1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r>
              <w:rPr>
                <w:rFonts w:ascii="宋体" w:hAnsi="宋体"/>
                <w:szCs w:val="21"/>
              </w:rPr>
              <w:t>4800</w:t>
            </w:r>
            <w:r>
              <w:rPr>
                <w:rFonts w:hint="eastAsia" w:ascii="宋体" w:hAnsi="宋体"/>
                <w:szCs w:val="21"/>
              </w:rPr>
              <w:t>】</w:t>
            </w:r>
          </w:p>
        </w:tc>
        <w:tc>
          <w:tcPr>
            <w:tcW w:w="86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【单批次/天/月/合同周期】</w:t>
            </w:r>
          </w:p>
        </w:tc>
        <w:tc>
          <w:tcPr>
            <w:tcW w:w="190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（加权验收值-增减基准）/变化幅度×价格增减额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806"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0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3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3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6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86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0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06"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0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3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3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6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86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0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bl>
    <w:p>
      <w:pPr>
        <w:ind w:firstLine="480" w:firstLineChars="200"/>
        <w:rPr>
          <w:rFonts w:ascii="宋体" w:hAnsi="宋体"/>
          <w:sz w:val="24"/>
        </w:rPr>
      </w:pPr>
      <w:r>
        <w:rPr>
          <w:rFonts w:hint="eastAsia" w:ascii="宋体" w:hAnsi="宋体"/>
          <w:sz w:val="24"/>
        </w:rPr>
        <w:t>②【硫分/挥发分等】指标以本合同第一条第4项约定的各品种“煤炭质量”为基准，在约定范围内的，不调整价格。超出约定范围的，按照以下方式调整价格：</w:t>
      </w:r>
    </w:p>
    <w:tbl>
      <w:tblPr>
        <w:tblStyle w:val="24"/>
        <w:tblW w:w="91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879"/>
        <w:gridCol w:w="1004"/>
        <w:gridCol w:w="1002"/>
        <w:gridCol w:w="1751"/>
        <w:gridCol w:w="687"/>
        <w:gridCol w:w="933"/>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品名/煤种</w:t>
            </w:r>
          </w:p>
        </w:tc>
        <w:tc>
          <w:tcPr>
            <w:tcW w:w="8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煤质指标</w:t>
            </w: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指标范围</w:t>
            </w:r>
          </w:p>
        </w:tc>
        <w:tc>
          <w:tcPr>
            <w:tcW w:w="100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变化幅度</w:t>
            </w:r>
          </w:p>
        </w:tc>
        <w:tc>
          <w:tcPr>
            <w:tcW w:w="175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价格增减额</w:t>
            </w:r>
          </w:p>
          <w:p>
            <w:pPr>
              <w:snapToGrid w:val="0"/>
              <w:jc w:val="center"/>
              <w:rPr>
                <w:rFonts w:ascii="宋体" w:hAnsi="宋体"/>
                <w:szCs w:val="21"/>
              </w:rPr>
            </w:pPr>
            <w:r>
              <w:rPr>
                <w:rFonts w:hint="eastAsia" w:ascii="宋体" w:hAnsi="宋体"/>
                <w:szCs w:val="21"/>
              </w:rPr>
              <w:t>（价格或比例）</w:t>
            </w:r>
          </w:p>
        </w:tc>
        <w:tc>
          <w:tcPr>
            <w:tcW w:w="6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增减基准</w:t>
            </w:r>
          </w:p>
        </w:tc>
        <w:tc>
          <w:tcPr>
            <w:tcW w:w="93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1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质量调整价公式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87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5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3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（加权验收值-增减基准）/变化幅度×价格增减额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87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5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3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87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0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5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3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bl>
    <w:p>
      <w:pPr>
        <w:ind w:left="900" w:hanging="42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数量调整价：</w:t>
      </w:r>
    </w:p>
    <w:p>
      <w:pPr>
        <w:snapToGrid w:val="0"/>
        <w:ind w:firstLine="495"/>
        <w:rPr>
          <w:rFonts w:ascii="宋体" w:hAnsi="宋体"/>
          <w:sz w:val="24"/>
        </w:rPr>
      </w:pPr>
      <w:r>
        <w:rPr>
          <w:rFonts w:hint="eastAsia" w:ascii="宋体" w:hAnsi="宋体"/>
          <w:sz w:val="24"/>
        </w:rPr>
        <w:t>以本合同第一条第3项约定的【供货总数量/各品种供货数量】为基准，在约定范围内的，不调整价格。超出约定范围的，按照以下方式调整价格：</w:t>
      </w:r>
    </w:p>
    <w:tbl>
      <w:tblPr>
        <w:tblStyle w:val="24"/>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848"/>
        <w:gridCol w:w="1074"/>
        <w:gridCol w:w="972"/>
        <w:gridCol w:w="1709"/>
        <w:gridCol w:w="660"/>
        <w:gridCol w:w="905"/>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jc w:val="center"/>
        </w:trPr>
        <w:tc>
          <w:tcPr>
            <w:tcW w:w="84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品名/煤种</w:t>
            </w:r>
          </w:p>
        </w:tc>
        <w:tc>
          <w:tcPr>
            <w:tcW w:w="84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rPr>
              <w:t>指标名称</w:t>
            </w:r>
          </w:p>
        </w:tc>
        <w:tc>
          <w:tcPr>
            <w:tcW w:w="10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指标范围</w:t>
            </w:r>
          </w:p>
        </w:tc>
        <w:tc>
          <w:tcPr>
            <w:tcW w:w="97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变化幅度</w:t>
            </w:r>
          </w:p>
        </w:tc>
        <w:tc>
          <w:tcPr>
            <w:tcW w:w="1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价格增减额</w:t>
            </w:r>
          </w:p>
          <w:p>
            <w:pPr>
              <w:snapToGrid w:val="0"/>
              <w:jc w:val="center"/>
              <w:rPr>
                <w:rFonts w:ascii="宋体" w:hAnsi="宋体"/>
                <w:szCs w:val="21"/>
              </w:rPr>
            </w:pPr>
            <w:r>
              <w:rPr>
                <w:rFonts w:hint="eastAsia" w:ascii="宋体" w:hAnsi="宋体"/>
                <w:szCs w:val="21"/>
              </w:rPr>
              <w:t>（价格或比例）</w:t>
            </w:r>
          </w:p>
        </w:tc>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增减基准</w:t>
            </w:r>
          </w:p>
        </w:tc>
        <w:tc>
          <w:tcPr>
            <w:tcW w:w="9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质量调整价公式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jc w:val="center"/>
        </w:trPr>
        <w:tc>
          <w:tcPr>
            <w:tcW w:w="84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4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7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（加权验收值-增减基准）/变化幅度×价格增减额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84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4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7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jc w:val="center"/>
        </w:trPr>
        <w:tc>
          <w:tcPr>
            <w:tcW w:w="849" w:type="dxa"/>
            <w:tcBorders>
              <w:top w:val="single" w:color="auto" w:sz="4" w:space="0"/>
              <w:left w:val="single" w:color="auto" w:sz="4" w:space="0"/>
              <w:bottom w:val="single" w:color="auto" w:sz="4" w:space="0"/>
              <w:right w:val="single" w:color="auto" w:sz="4" w:space="0"/>
            </w:tcBorders>
          </w:tcPr>
          <w:p>
            <w:pPr>
              <w:snapToGrid w:val="0"/>
              <w:jc w:val="center"/>
              <w:rPr>
                <w:rFonts w:ascii="宋体" w:hAnsi="宋体"/>
                <w:szCs w:val="21"/>
              </w:rPr>
            </w:pPr>
          </w:p>
        </w:tc>
        <w:tc>
          <w:tcPr>
            <w:tcW w:w="84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7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bl>
    <w:p>
      <w:pPr>
        <w:ind w:left="900" w:hanging="42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其他因素调整价：</w:t>
      </w:r>
    </w:p>
    <w:p>
      <w:pPr>
        <w:ind w:firstLine="480" w:firstLineChars="200"/>
        <w:rPr>
          <w:rFonts w:ascii="宋体" w:hAnsi="宋体"/>
          <w:sz w:val="24"/>
        </w:rPr>
      </w:pPr>
      <w:r>
        <w:rPr>
          <w:rFonts w:hint="eastAsia" w:ascii="宋体" w:hAnsi="宋体"/>
          <w:sz w:val="24"/>
        </w:rPr>
        <w:t>【】</w:t>
      </w:r>
    </w:p>
    <w:p>
      <w:pPr>
        <w:ind w:firstLine="480"/>
        <w:rPr>
          <w:rFonts w:ascii="宋体" w:hAnsi="宋体"/>
          <w:sz w:val="24"/>
        </w:rPr>
      </w:pPr>
      <w:r>
        <w:rPr>
          <w:rFonts w:ascii="宋体" w:hAnsi="宋体"/>
          <w:sz w:val="24"/>
        </w:rPr>
        <w:t>2.</w:t>
      </w:r>
      <w:r>
        <w:rPr>
          <w:rFonts w:ascii="宋体" w:hAnsi="宋体"/>
          <w:sz w:val="24"/>
        </w:rPr>
        <w:tab/>
      </w:r>
      <w:r>
        <w:rPr>
          <w:rFonts w:hint="eastAsia" w:ascii="宋体" w:hAnsi="宋体"/>
          <w:sz w:val="24"/>
        </w:rPr>
        <w:t xml:space="preserve">运费价格【（含增值税，增值税税率为 </w:t>
      </w:r>
      <w:r>
        <w:rPr>
          <w:rFonts w:ascii="宋体" w:hAnsi="宋体"/>
          <w:sz w:val="24"/>
        </w:rPr>
        <w:t xml:space="preserve"> </w:t>
      </w:r>
      <w:r>
        <w:rPr>
          <w:rFonts w:hint="eastAsia" w:ascii="宋体" w:hAnsi="宋体"/>
          <w:sz w:val="24"/>
        </w:rPr>
        <w:t>%）】=运价【】元/吨+运费调整价，指标在约定范围内的，不调整价格。超出约定范围的，按照以下方式调整价格：</w:t>
      </w:r>
    </w:p>
    <w:tbl>
      <w:tblPr>
        <w:tblStyle w:val="2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11"/>
        <w:gridCol w:w="1057"/>
        <w:gridCol w:w="1896"/>
        <w:gridCol w:w="717"/>
        <w:gridCol w:w="737"/>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rPr>
              <w:t>指标名称</w:t>
            </w: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指标范围</w:t>
            </w: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变化幅度</w:t>
            </w: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价格增减额</w:t>
            </w:r>
          </w:p>
          <w:p>
            <w:pPr>
              <w:snapToGrid w:val="0"/>
              <w:jc w:val="center"/>
              <w:rPr>
                <w:rFonts w:ascii="宋体" w:hAnsi="宋体"/>
                <w:szCs w:val="21"/>
              </w:rPr>
            </w:pPr>
            <w:r>
              <w:rPr>
                <w:rFonts w:hint="eastAsia" w:ascii="宋体" w:hAnsi="宋体"/>
                <w:szCs w:val="21"/>
              </w:rPr>
              <w:t>（价格或比例）</w:t>
            </w: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增减基准</w:t>
            </w: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运费调整公式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（加权验收值-增减基准）×价格增减额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bl>
    <w:p>
      <w:pPr>
        <w:ind w:firstLine="480"/>
        <w:rPr>
          <w:rFonts w:ascii="宋体" w:hAnsi="宋体"/>
          <w:sz w:val="24"/>
        </w:rPr>
      </w:pPr>
      <w:r>
        <w:rPr>
          <w:rFonts w:ascii="宋体" w:hAnsi="宋体"/>
          <w:sz w:val="24"/>
        </w:rPr>
        <w:t>3.</w:t>
      </w:r>
      <w:r>
        <w:rPr>
          <w:rFonts w:ascii="宋体" w:hAnsi="宋体"/>
          <w:sz w:val="24"/>
        </w:rPr>
        <w:tab/>
      </w:r>
      <w:r>
        <w:rPr>
          <w:rFonts w:hint="eastAsia" w:ascii="宋体" w:hAnsi="宋体"/>
          <w:sz w:val="24"/>
        </w:rPr>
        <w:t xml:space="preserve">杂费【（含增值税，增值税税率为 </w:t>
      </w:r>
      <w:r>
        <w:rPr>
          <w:rFonts w:ascii="宋体" w:hAnsi="宋体"/>
          <w:sz w:val="24"/>
        </w:rPr>
        <w:t xml:space="preserve"> </w:t>
      </w:r>
      <w:r>
        <w:rPr>
          <w:rFonts w:hint="eastAsia" w:ascii="宋体" w:hAnsi="宋体"/>
          <w:sz w:val="24"/>
        </w:rPr>
        <w:t>%）】=杂费【】元/吨+杂费调整价，指标在约定范围内的，不调整价格。超出约定范围的，按照以下方式调整价格：</w:t>
      </w:r>
    </w:p>
    <w:tbl>
      <w:tblPr>
        <w:tblStyle w:val="2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11"/>
        <w:gridCol w:w="1057"/>
        <w:gridCol w:w="1896"/>
        <w:gridCol w:w="717"/>
        <w:gridCol w:w="737"/>
        <w:gridCol w:w="2066"/>
      </w:tblGrid>
      <w:tr>
        <w:tblPrEx>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rPr>
              <w:t>指标名称</w:t>
            </w: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指标范围</w:t>
            </w: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变化幅度</w:t>
            </w: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价格增减额</w:t>
            </w:r>
          </w:p>
          <w:p>
            <w:pPr>
              <w:snapToGrid w:val="0"/>
              <w:jc w:val="center"/>
              <w:rPr>
                <w:rFonts w:ascii="宋体" w:hAnsi="宋体"/>
                <w:szCs w:val="21"/>
              </w:rPr>
            </w:pPr>
            <w:r>
              <w:rPr>
                <w:rFonts w:hint="eastAsia" w:ascii="宋体" w:hAnsi="宋体"/>
                <w:szCs w:val="21"/>
              </w:rPr>
              <w:t>（价格或比例）</w:t>
            </w: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增减基准</w:t>
            </w: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加权方式</w:t>
            </w: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杂费调整公式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（加权验收值-增减基准）×价格增减额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0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1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73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c>
          <w:tcPr>
            <w:tcW w:w="20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p>
        </w:tc>
      </w:tr>
    </w:tbl>
    <w:p>
      <w:pPr>
        <w:ind w:firstLine="480"/>
        <w:rPr>
          <w:rFonts w:ascii="宋体" w:hAnsi="宋体"/>
          <w:sz w:val="24"/>
        </w:rPr>
      </w:pPr>
      <w:r>
        <w:rPr>
          <w:rFonts w:hint="eastAsia" w:ascii="宋体" w:hAnsi="宋体"/>
          <w:sz w:val="24"/>
        </w:rPr>
        <w:t>(二)</w:t>
      </w:r>
      <w:r>
        <w:rPr>
          <w:rFonts w:hint="eastAsia" w:ascii="宋体" w:hAnsi="宋体"/>
          <w:sz w:val="24"/>
        </w:rPr>
        <w:tab/>
      </w:r>
      <w:r>
        <w:rPr>
          <w:rFonts w:hint="eastAsia" w:ascii="宋体" w:hAnsi="宋体"/>
          <w:sz w:val="24"/>
        </w:rPr>
        <w:t>本合同履行过程中，如遇国家或地方有关法规、政策变动，对买、卖双方交易价格造成影响导致基准价格变动超过【】%的，则由买、卖双方协商进行价格调整。否则，本合同约定的基准价格为固定单价，未经买方书面同意，卖方不得以任何理由要求买方做任何调整。</w:t>
      </w:r>
      <w:r>
        <w:rPr>
          <w:rFonts w:hint="eastAsia" w:ascii="宋体" w:hAnsi="宋体"/>
          <w:b/>
          <w:sz w:val="24"/>
        </w:rPr>
        <w:tab/>
      </w:r>
    </w:p>
    <w:p>
      <w:pPr>
        <w:spacing w:line="500" w:lineRule="exact"/>
        <w:ind w:firstLine="482"/>
        <w:outlineLvl w:val="0"/>
        <w:rPr>
          <w:rFonts w:hint="eastAsia" w:ascii="宋体" w:hAnsi="宋体"/>
          <w:b/>
          <w:sz w:val="24"/>
        </w:rPr>
      </w:pPr>
      <w:r>
        <w:rPr>
          <w:rFonts w:hint="eastAsia" w:ascii="宋体" w:hAnsi="宋体"/>
          <w:b/>
          <w:sz w:val="24"/>
        </w:rPr>
        <w:t>五、</w:t>
      </w:r>
      <w:r>
        <w:rPr>
          <w:rFonts w:hint="eastAsia" w:ascii="宋体" w:hAnsi="宋体"/>
          <w:b/>
          <w:sz w:val="24"/>
        </w:rPr>
        <w:tab/>
      </w:r>
      <w:r>
        <w:rPr>
          <w:rFonts w:hint="eastAsia" w:ascii="宋体" w:hAnsi="宋体"/>
          <w:b/>
          <w:sz w:val="24"/>
        </w:rPr>
        <w:t>结算及付款</w:t>
      </w:r>
    </w:p>
    <w:p>
      <w:pPr>
        <w:ind w:firstLine="480"/>
        <w:rPr>
          <w:rFonts w:ascii="宋体" w:hAnsi="宋体"/>
          <w:sz w:val="24"/>
        </w:rPr>
      </w:pPr>
      <w:r>
        <w:rPr>
          <w:rFonts w:ascii="宋体" w:hAnsi="宋体"/>
          <w:sz w:val="24"/>
        </w:rPr>
        <w:t>1.</w:t>
      </w:r>
      <w:r>
        <w:rPr>
          <w:rFonts w:ascii="宋体" w:hAnsi="宋体"/>
          <w:sz w:val="24"/>
        </w:rPr>
        <w:tab/>
      </w:r>
      <w:r>
        <w:rPr>
          <w:rFonts w:hint="eastAsia" w:ascii="宋体" w:hAnsi="宋体"/>
          <w:sz w:val="24"/>
        </w:rPr>
        <w:t>双方存在数量或/和质量异议时，双方同意采用以下第【 】种方式进行处理：</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买方应先行按照合同约定时限和约定的验收方式确认的数量、质量进行预结算，预结算付款比例为无争议货物对应货款的【】%，对有异议部分双方应按照第三条约定进行处理，并依据最终数量或/和质量化验结果在后续结算中进行结算。</w:t>
      </w:r>
    </w:p>
    <w:p>
      <w:pPr>
        <w:ind w:firstLine="48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在交货后【】个工作日内，买、卖双方争取对数量或/和质量异议达成一致意见并签订补充协议后办理结算。如双方不能达成一致，提请第三方进行复检，以复检的结果进行验收结算。</w:t>
      </w:r>
    </w:p>
    <w:p>
      <w:pPr>
        <w:ind w:firstLine="480"/>
        <w:rPr>
          <w:rFonts w:ascii="宋体" w:hAnsi="宋体"/>
          <w:sz w:val="24"/>
        </w:rPr>
      </w:pPr>
      <w:r>
        <w:rPr>
          <w:rFonts w:ascii="宋体" w:hAnsi="宋体"/>
          <w:sz w:val="24"/>
        </w:rPr>
        <w:t>2.</w:t>
      </w:r>
      <w:r>
        <w:rPr>
          <w:rFonts w:hint="eastAsia" w:ascii="宋体" w:hAnsi="宋体"/>
          <w:sz w:val="24"/>
        </w:rPr>
        <w:t>买、卖双方约定【每周</w:t>
      </w:r>
      <w:r>
        <w:rPr>
          <w:rFonts w:ascii="宋体" w:hAnsi="宋体"/>
          <w:sz w:val="24"/>
        </w:rPr>
        <w:t>/</w:t>
      </w:r>
      <w:r>
        <w:rPr>
          <w:rFonts w:hint="eastAsia" w:ascii="宋体" w:hAnsi="宋体"/>
          <w:sz w:val="24"/>
        </w:rPr>
        <w:t>每旬/每月】结算一次。</w:t>
      </w:r>
    </w:p>
    <w:p>
      <w:pPr>
        <w:ind w:firstLine="480"/>
        <w:rPr>
          <w:rFonts w:ascii="宋体" w:hAnsi="宋体"/>
          <w:sz w:val="24"/>
        </w:rPr>
      </w:pPr>
      <w:r>
        <w:rPr>
          <w:rFonts w:hint="eastAsia" w:ascii="宋体" w:hAnsi="宋体"/>
          <w:sz w:val="24"/>
        </w:rPr>
        <w:t>3.</w:t>
      </w:r>
      <w:r>
        <w:rPr>
          <w:rFonts w:ascii="宋体" w:hAnsi="宋体"/>
          <w:sz w:val="24"/>
        </w:rPr>
        <w:t xml:space="preserve"> </w:t>
      </w:r>
      <w:r>
        <w:rPr>
          <w:rFonts w:hint="eastAsia" w:ascii="宋体" w:hAnsi="宋体"/>
          <w:sz w:val="24"/>
        </w:rPr>
        <w:t>买、卖双方对货物不存在任何异议后，【  】（A买方 B买方委托的结算方     )于【每周</w:t>
      </w:r>
      <w:r>
        <w:rPr>
          <w:rFonts w:ascii="宋体" w:hAnsi="宋体"/>
          <w:sz w:val="24"/>
        </w:rPr>
        <w:t>/</w:t>
      </w:r>
      <w:r>
        <w:rPr>
          <w:rFonts w:hint="eastAsia" w:ascii="宋体" w:hAnsi="宋体"/>
          <w:sz w:val="24"/>
        </w:rPr>
        <w:t>每旬/每月 日】前根据以下结算单据对【上期、上周、上旬、上月】货款（如未特别说明，均包含运杂费在内）进行结算：</w:t>
      </w:r>
    </w:p>
    <w:p>
      <w:pPr>
        <w:ind w:firstLine="480"/>
        <w:rPr>
          <w:rFonts w:ascii="宋体" w:hAnsi="宋体"/>
          <w:sz w:val="24"/>
        </w:rPr>
      </w:pPr>
      <w:r>
        <w:rPr>
          <w:rFonts w:hint="eastAsia" w:ascii="宋体" w:hAnsi="宋体"/>
          <w:sz w:val="24"/>
        </w:rPr>
        <w:t>（1）过衡单、货物交接单、数量计量结果，如存在过数量异议的，应提交数量最终结果依据；</w:t>
      </w:r>
    </w:p>
    <w:p>
      <w:pPr>
        <w:ind w:firstLine="480"/>
        <w:rPr>
          <w:rFonts w:ascii="宋体" w:hAnsi="宋体"/>
          <w:sz w:val="24"/>
        </w:rPr>
      </w:pPr>
      <w:r>
        <w:rPr>
          <w:rFonts w:hint="eastAsia" w:ascii="宋体" w:hAnsi="宋体"/>
          <w:sz w:val="24"/>
        </w:rPr>
        <w:t>（2）质量化验结果，如存在过质量异议的，应提交质量最终结果依据。</w:t>
      </w:r>
    </w:p>
    <w:p>
      <w:pPr>
        <w:ind w:firstLine="480" w:firstLineChars="200"/>
        <w:rPr>
          <w:rFonts w:ascii="宋体" w:hAnsi="宋体"/>
          <w:sz w:val="24"/>
        </w:rPr>
      </w:pPr>
      <w:r>
        <w:rPr>
          <w:rFonts w:ascii="宋体" w:hAnsi="宋体"/>
          <w:sz w:val="24"/>
        </w:rPr>
        <w:t>4.</w:t>
      </w:r>
      <w:r>
        <w:rPr>
          <w:rFonts w:ascii="宋体" w:hAnsi="宋体"/>
          <w:sz w:val="24"/>
        </w:rPr>
        <w:tab/>
      </w:r>
      <w:r>
        <w:rPr>
          <w:rFonts w:hint="eastAsia" w:ascii="宋体" w:hAnsi="宋体"/>
          <w:sz w:val="24"/>
        </w:rPr>
        <w:t>结算方式：双方同意按以下方式【】执行。</w:t>
      </w:r>
    </w:p>
    <w:p>
      <w:pPr>
        <w:ind w:firstLine="480" w:firstLineChars="200"/>
        <w:rPr>
          <w:rFonts w:ascii="宋体" w:hAnsi="宋体"/>
          <w:sz w:val="24"/>
        </w:rPr>
      </w:pPr>
      <w:r>
        <w:rPr>
          <w:rFonts w:hint="eastAsia" w:ascii="宋体" w:hAnsi="宋体"/>
          <w:sz w:val="24"/>
        </w:rPr>
        <w:t>方式1：买方和委托结算方共同出具《结算通知函》（见附件2），由买方的委托的结算方直接与卖方进行结算、付款（委托结算方名单与结算信息见附件1）。本合同约定的煤炭到委托结算方且完成验收和结算手续后【_</w:t>
      </w:r>
      <w:r>
        <w:rPr>
          <w:rFonts w:ascii="宋体" w:hAnsi="宋体"/>
          <w:sz w:val="24"/>
        </w:rPr>
        <w:t>_</w:t>
      </w:r>
      <w:r>
        <w:rPr>
          <w:rFonts w:hint="eastAsia" w:ascii="宋体" w:hAnsi="宋体"/>
          <w:sz w:val="24"/>
        </w:rPr>
        <w:t>个工作日内】由委托结算方向卖方支付无争议货物6</w:t>
      </w:r>
      <w:r>
        <w:rPr>
          <w:rFonts w:ascii="宋体" w:hAnsi="宋体"/>
          <w:sz w:val="24"/>
        </w:rPr>
        <w:t>0</w:t>
      </w:r>
      <w:r>
        <w:rPr>
          <w:rFonts w:hint="eastAsia" w:ascii="宋体" w:hAnsi="宋体"/>
          <w:sz w:val="24"/>
        </w:rPr>
        <w:t>%货款作为预结算款，委托结算方收到卖方开具的全额增值税专用发票后【_</w:t>
      </w:r>
      <w:r>
        <w:rPr>
          <w:rFonts w:ascii="宋体" w:hAnsi="宋体"/>
          <w:sz w:val="24"/>
        </w:rPr>
        <w:t>_</w:t>
      </w:r>
      <w:r>
        <w:rPr>
          <w:rFonts w:hint="eastAsia" w:ascii="宋体" w:hAnsi="宋体"/>
          <w:sz w:val="24"/>
        </w:rPr>
        <w:t>个工作日内】由委托结算方向卖方支付剩余已结算确认的全部货款。</w:t>
      </w:r>
    </w:p>
    <w:p>
      <w:pPr>
        <w:ind w:firstLine="480" w:firstLineChars="200"/>
        <w:rPr>
          <w:rFonts w:ascii="宋体" w:hAnsi="宋体"/>
          <w:sz w:val="24"/>
        </w:rPr>
      </w:pPr>
      <w:r>
        <w:rPr>
          <w:rFonts w:hint="eastAsia" w:ascii="宋体" w:hAnsi="宋体"/>
          <w:sz w:val="24"/>
        </w:rPr>
        <w:t>【运费、杂费】由【卖方】垫付的，煤炭到电厂且完成验收和结算手续后，【_</w:t>
      </w:r>
      <w:r>
        <w:rPr>
          <w:rFonts w:ascii="宋体" w:hAnsi="宋体"/>
          <w:sz w:val="24"/>
        </w:rPr>
        <w:t>_</w:t>
      </w:r>
      <w:r>
        <w:rPr>
          <w:rFonts w:hint="eastAsia" w:ascii="宋体" w:hAnsi="宋体"/>
          <w:sz w:val="24"/>
        </w:rPr>
        <w:t>个工作日内】由</w:t>
      </w:r>
      <w:r>
        <w:rPr>
          <w:rFonts w:ascii="宋体" w:hAnsi="宋体"/>
          <w:sz w:val="24"/>
        </w:rPr>
        <w:t>委托结算方</w:t>
      </w:r>
      <w:r>
        <w:rPr>
          <w:rFonts w:hint="eastAsia" w:ascii="宋体" w:hAnsi="宋体"/>
          <w:sz w:val="24"/>
        </w:rPr>
        <w:t>向卖方支付60%代垫【运费、杂费】，</w:t>
      </w:r>
      <w:r>
        <w:rPr>
          <w:rFonts w:ascii="宋体" w:hAnsi="宋体"/>
          <w:sz w:val="24"/>
        </w:rPr>
        <w:t>委托结算方</w:t>
      </w:r>
      <w:r>
        <w:rPr>
          <w:rFonts w:hint="eastAsia" w:ascii="宋体" w:hAnsi="宋体"/>
          <w:sz w:val="24"/>
        </w:rPr>
        <w:t>收到【全额增值税专用发票】发票后【_</w:t>
      </w:r>
      <w:r>
        <w:rPr>
          <w:rFonts w:ascii="宋体" w:hAnsi="宋体"/>
          <w:sz w:val="24"/>
        </w:rPr>
        <w:t>_</w:t>
      </w:r>
      <w:r>
        <w:rPr>
          <w:rFonts w:hint="eastAsia" w:ascii="宋体" w:hAnsi="宋体"/>
          <w:sz w:val="24"/>
        </w:rPr>
        <w:t>个工作日内】向卖方支付剩余已结算确认的代垫【运费、杂费】。</w:t>
      </w:r>
    </w:p>
    <w:p>
      <w:pPr>
        <w:ind w:firstLine="480" w:firstLineChars="200"/>
        <w:rPr>
          <w:rFonts w:ascii="宋体" w:hAnsi="宋体"/>
          <w:sz w:val="24"/>
        </w:rPr>
      </w:pPr>
      <w:r>
        <w:rPr>
          <w:rFonts w:hint="eastAsia" w:ascii="宋体" w:hAnsi="宋体"/>
          <w:sz w:val="24"/>
        </w:rPr>
        <w:t>方式</w:t>
      </w:r>
      <w:r>
        <w:rPr>
          <w:rFonts w:ascii="宋体" w:hAnsi="宋体"/>
          <w:sz w:val="24"/>
        </w:rPr>
        <w:t>2</w:t>
      </w:r>
      <w:r>
        <w:rPr>
          <w:rFonts w:hint="eastAsia" w:ascii="宋体" w:hAnsi="宋体"/>
          <w:sz w:val="24"/>
        </w:rPr>
        <w:t>：本合同约定的煤炭到【电厂】且完成验收和结算手续后，【_</w:t>
      </w:r>
      <w:r>
        <w:rPr>
          <w:rFonts w:ascii="宋体" w:hAnsi="宋体"/>
          <w:sz w:val="24"/>
        </w:rPr>
        <w:t>_</w:t>
      </w:r>
      <w:r>
        <w:rPr>
          <w:rFonts w:hint="eastAsia" w:ascii="宋体" w:hAnsi="宋体"/>
          <w:sz w:val="24"/>
        </w:rPr>
        <w:t>个工作日内】由买方向卖方支付无争议货物6</w:t>
      </w:r>
      <w:r>
        <w:rPr>
          <w:rFonts w:ascii="宋体" w:hAnsi="宋体"/>
          <w:sz w:val="24"/>
        </w:rPr>
        <w:t>0</w:t>
      </w:r>
      <w:r>
        <w:rPr>
          <w:rFonts w:hint="eastAsia" w:ascii="宋体" w:hAnsi="宋体"/>
          <w:sz w:val="24"/>
        </w:rPr>
        <w:t>%货款作为预结算款，买方收到卖方全额增值税专用发票后【_</w:t>
      </w:r>
      <w:r>
        <w:rPr>
          <w:rFonts w:ascii="宋体" w:hAnsi="宋体"/>
          <w:sz w:val="24"/>
        </w:rPr>
        <w:t>_</w:t>
      </w:r>
      <w:r>
        <w:rPr>
          <w:rFonts w:hint="eastAsia" w:ascii="宋体" w:hAnsi="宋体"/>
          <w:sz w:val="24"/>
        </w:rPr>
        <w:t>个工作日内】向卖方支付剩余已结算确认的全部货款。</w:t>
      </w:r>
    </w:p>
    <w:p>
      <w:pPr>
        <w:ind w:firstLine="480" w:firstLineChars="200"/>
        <w:rPr>
          <w:rFonts w:ascii="宋体" w:hAnsi="宋体"/>
          <w:sz w:val="24"/>
        </w:rPr>
      </w:pPr>
      <w:r>
        <w:rPr>
          <w:rFonts w:hint="eastAsia" w:ascii="宋体" w:hAnsi="宋体"/>
          <w:sz w:val="24"/>
        </w:rPr>
        <w:t>【运费、杂费】由【卖方】垫付的，运费、杂费由【】向【买方/电厂】开具【增值税专用】发票。煤炭到【电厂】且完成验收和结算手续后，【_</w:t>
      </w:r>
      <w:r>
        <w:rPr>
          <w:rFonts w:ascii="宋体" w:hAnsi="宋体"/>
          <w:sz w:val="24"/>
        </w:rPr>
        <w:t>_</w:t>
      </w:r>
      <w:r>
        <w:rPr>
          <w:rFonts w:hint="eastAsia" w:ascii="宋体" w:hAnsi="宋体"/>
          <w:sz w:val="24"/>
        </w:rPr>
        <w:t>个工作日内】由【买方/电厂】向卖方支付60%代垫【运费、杂费】，【买方】收到【全额增值税专用发票】发票后【_</w:t>
      </w:r>
      <w:r>
        <w:rPr>
          <w:rFonts w:ascii="宋体" w:hAnsi="宋体"/>
          <w:sz w:val="24"/>
        </w:rPr>
        <w:t>_</w:t>
      </w:r>
      <w:r>
        <w:rPr>
          <w:rFonts w:hint="eastAsia" w:ascii="宋体" w:hAnsi="宋体"/>
          <w:sz w:val="24"/>
        </w:rPr>
        <w:t>个工作日内】由【买方/电厂】向卖方支付剩余已结算确认的代垫【运费、杂费】。</w:t>
      </w:r>
    </w:p>
    <w:p>
      <w:pPr>
        <w:ind w:firstLine="480" w:firstLineChars="200"/>
        <w:rPr>
          <w:rFonts w:ascii="宋体" w:hAnsi="宋体"/>
          <w:sz w:val="24"/>
        </w:rPr>
      </w:pPr>
      <w:r>
        <w:rPr>
          <w:rFonts w:hint="eastAsia" w:ascii="宋体" w:hAnsi="宋体"/>
          <w:sz w:val="24"/>
        </w:rPr>
        <w:t>方式3：买卖双方完成结算确认后【_</w:t>
      </w:r>
      <w:r>
        <w:rPr>
          <w:rFonts w:ascii="宋体" w:hAnsi="宋体"/>
          <w:sz w:val="24"/>
        </w:rPr>
        <w:t>_</w:t>
      </w:r>
      <w:r>
        <w:rPr>
          <w:rFonts w:hint="eastAsia" w:ascii="宋体" w:hAnsi="宋体"/>
          <w:sz w:val="24"/>
        </w:rPr>
        <w:t>个工作日内】，由卖方向买方开具全额增值税专用发票，买方收到全额增值税专用发票后【_</w:t>
      </w:r>
      <w:r>
        <w:rPr>
          <w:rFonts w:ascii="宋体" w:hAnsi="宋体"/>
          <w:sz w:val="24"/>
        </w:rPr>
        <w:t>_</w:t>
      </w:r>
      <w:r>
        <w:rPr>
          <w:rFonts w:hint="eastAsia" w:ascii="宋体" w:hAnsi="宋体"/>
          <w:sz w:val="24"/>
        </w:rPr>
        <w:t>个工作日内】向卖方支付全部已结算确认的货款。【运费、杂费】由【卖方】垫付的，运费、杂费由【】向【买方】开具【增值税专用】发票，买卖双方完成结算确认，【买方】收到【全额增值税专用发票】发票后【_</w:t>
      </w:r>
      <w:r>
        <w:rPr>
          <w:rFonts w:ascii="宋体" w:hAnsi="宋体"/>
          <w:sz w:val="24"/>
        </w:rPr>
        <w:t>_</w:t>
      </w:r>
      <w:r>
        <w:rPr>
          <w:rFonts w:hint="eastAsia" w:ascii="宋体" w:hAnsi="宋体"/>
          <w:sz w:val="24"/>
        </w:rPr>
        <w:t>个工作日内】向卖方支付已结算确认的代垫【运费、杂费】。</w:t>
      </w:r>
    </w:p>
    <w:p>
      <w:pPr>
        <w:ind w:firstLine="480"/>
        <w:rPr>
          <w:rFonts w:ascii="宋体" w:hAnsi="宋体"/>
          <w:sz w:val="24"/>
        </w:rPr>
      </w:pPr>
      <w:r>
        <w:rPr>
          <w:rFonts w:ascii="宋体" w:hAnsi="宋体"/>
          <w:sz w:val="24"/>
        </w:rPr>
        <w:t>5.</w:t>
      </w:r>
      <w:r>
        <w:rPr>
          <w:rFonts w:ascii="宋体" w:hAnsi="宋体"/>
          <w:sz w:val="24"/>
        </w:rPr>
        <w:tab/>
      </w:r>
      <w:r>
        <w:rPr>
          <w:rFonts w:hint="eastAsia" w:ascii="宋体" w:hAnsi="宋体"/>
          <w:sz w:val="24"/>
        </w:rPr>
        <w:t>付款方式：【】A、现汇；B银行承兑汇票。</w:t>
      </w:r>
    </w:p>
    <w:p>
      <w:pPr>
        <w:ind w:firstLine="480"/>
        <w:rPr>
          <w:rFonts w:ascii="宋体" w:hAnsi="宋体"/>
          <w:sz w:val="24"/>
        </w:rPr>
      </w:pPr>
      <w:r>
        <w:rPr>
          <w:rFonts w:ascii="宋体" w:hAnsi="宋体"/>
          <w:sz w:val="24"/>
        </w:rPr>
        <w:t>6.</w:t>
      </w:r>
      <w:r>
        <w:rPr>
          <w:rFonts w:ascii="宋体" w:hAnsi="宋体"/>
          <w:sz w:val="24"/>
        </w:rPr>
        <w:tab/>
      </w:r>
      <w:r>
        <w:rPr>
          <w:rFonts w:hint="eastAsia" w:ascii="宋体" w:hAnsi="宋体"/>
          <w:sz w:val="24"/>
        </w:rPr>
        <w:t>双方约定的其他条款：【】。</w:t>
      </w:r>
    </w:p>
    <w:p>
      <w:pPr>
        <w:spacing w:line="500" w:lineRule="exact"/>
        <w:ind w:firstLine="482"/>
        <w:outlineLvl w:val="0"/>
        <w:rPr>
          <w:rFonts w:hint="eastAsia" w:ascii="宋体" w:hAnsi="宋体"/>
          <w:b/>
          <w:sz w:val="24"/>
        </w:rPr>
      </w:pPr>
      <w:r>
        <w:rPr>
          <w:rFonts w:hint="eastAsia" w:ascii="宋体" w:hAnsi="宋体"/>
          <w:b/>
          <w:sz w:val="24"/>
        </w:rPr>
        <w:t>六、</w:t>
      </w:r>
      <w:r>
        <w:rPr>
          <w:rFonts w:hint="eastAsia" w:ascii="宋体" w:hAnsi="宋体"/>
          <w:b/>
          <w:sz w:val="24"/>
        </w:rPr>
        <w:tab/>
      </w:r>
      <w:r>
        <w:rPr>
          <w:rFonts w:hint="eastAsia" w:ascii="宋体" w:hAnsi="宋体"/>
          <w:b/>
          <w:sz w:val="24"/>
        </w:rPr>
        <w:t>合同变更与解除</w:t>
      </w:r>
    </w:p>
    <w:p>
      <w:pPr>
        <w:ind w:firstLine="480" w:firstLineChars="200"/>
        <w:rPr>
          <w:sz w:val="24"/>
        </w:rPr>
      </w:pPr>
      <w:r>
        <w:rPr>
          <w:rFonts w:hint="eastAsia" w:ascii="宋体" w:hAnsi="宋体"/>
          <w:sz w:val="24"/>
        </w:rPr>
        <w:t>本合同生效后，任何一方均不得擅自变更或解除。如确需变更或解除，应经双方协商一致并达成书面协议。书面协议达成之前，</w:t>
      </w:r>
      <w:r>
        <w:rPr>
          <w:rFonts w:hint="eastAsia"/>
          <w:sz w:val="24"/>
        </w:rPr>
        <w:t>本合同继续有效。</w:t>
      </w:r>
    </w:p>
    <w:p>
      <w:pPr>
        <w:ind w:firstLine="480" w:firstLineChars="200"/>
        <w:rPr>
          <w:sz w:val="24"/>
        </w:rPr>
      </w:pPr>
      <w:r>
        <w:rPr>
          <w:rFonts w:hint="eastAsia"/>
          <w:sz w:val="24"/>
        </w:rPr>
        <w:t>发生如下任何一种情形的，买方有权解除合同且无需承担违约责任：</w:t>
      </w:r>
    </w:p>
    <w:p>
      <w:pPr>
        <w:ind w:firstLine="480" w:firstLineChars="200"/>
        <w:rPr>
          <w:sz w:val="24"/>
        </w:rPr>
      </w:pPr>
      <w:r>
        <w:rPr>
          <w:rFonts w:hint="eastAsia"/>
          <w:sz w:val="24"/>
        </w:rPr>
        <w:t>1</w:t>
      </w:r>
      <w:r>
        <w:rPr>
          <w:rFonts w:hint="eastAsia" w:ascii="宋体" w:hAnsi="宋体"/>
          <w:sz w:val="24"/>
        </w:rPr>
        <w:t>.</w:t>
      </w:r>
      <w:r>
        <w:rPr>
          <w:rFonts w:hint="eastAsia" w:ascii="宋体" w:hAnsi="宋体"/>
          <w:sz w:val="24"/>
        </w:rPr>
        <w:tab/>
      </w:r>
      <w:r>
        <w:rPr>
          <w:rFonts w:hint="eastAsia"/>
          <w:sz w:val="24"/>
        </w:rPr>
        <w:t>卖方违反本合同义务，经买方书面通知后【】日内仍未纠正的；</w:t>
      </w:r>
    </w:p>
    <w:p>
      <w:pPr>
        <w:ind w:firstLine="480" w:firstLineChars="200"/>
        <w:rPr>
          <w:sz w:val="24"/>
        </w:rPr>
      </w:pPr>
      <w:r>
        <w:rPr>
          <w:rFonts w:hint="eastAsia"/>
          <w:sz w:val="24"/>
        </w:rPr>
        <w:t>2</w:t>
      </w:r>
      <w:r>
        <w:rPr>
          <w:rFonts w:hint="eastAsia" w:ascii="宋体" w:hAnsi="宋体"/>
          <w:sz w:val="24"/>
        </w:rPr>
        <w:t>.</w:t>
      </w:r>
      <w:r>
        <w:rPr>
          <w:rFonts w:hint="eastAsia" w:ascii="宋体" w:hAnsi="宋体"/>
          <w:sz w:val="24"/>
        </w:rPr>
        <w:tab/>
      </w:r>
      <w:r>
        <w:rPr>
          <w:rFonts w:hint="eastAsia"/>
          <w:sz w:val="24"/>
        </w:rPr>
        <w:t>卖方不履行本合同义务，经买方书面通知后【】日内仍未履行的；</w:t>
      </w:r>
    </w:p>
    <w:p>
      <w:pPr>
        <w:ind w:firstLine="480" w:firstLineChars="200"/>
        <w:rPr>
          <w:sz w:val="24"/>
        </w:rPr>
      </w:pPr>
      <w:r>
        <w:rPr>
          <w:rFonts w:hint="eastAsia"/>
          <w:sz w:val="24"/>
        </w:rPr>
        <w:t>3</w:t>
      </w:r>
      <w:r>
        <w:rPr>
          <w:rFonts w:hint="eastAsia" w:ascii="宋体" w:hAnsi="宋体"/>
          <w:sz w:val="24"/>
        </w:rPr>
        <w:t>.</w:t>
      </w:r>
      <w:r>
        <w:rPr>
          <w:rFonts w:hint="eastAsia" w:ascii="宋体" w:hAnsi="宋体"/>
          <w:sz w:val="24"/>
        </w:rPr>
        <w:tab/>
      </w:r>
      <w:r>
        <w:rPr>
          <w:rFonts w:hint="eastAsia"/>
          <w:sz w:val="24"/>
        </w:rPr>
        <w:t>在约定的交货日前【】日，买方书面通知卖方的；</w:t>
      </w:r>
    </w:p>
    <w:p>
      <w:pPr>
        <w:ind w:firstLine="480" w:firstLineChars="200"/>
        <w:rPr>
          <w:sz w:val="24"/>
        </w:rPr>
      </w:pPr>
      <w:r>
        <w:rPr>
          <w:rFonts w:hint="eastAsia"/>
          <w:sz w:val="24"/>
        </w:rPr>
        <w:t>4</w:t>
      </w:r>
      <w:r>
        <w:rPr>
          <w:rFonts w:hint="eastAsia" w:ascii="宋体" w:hAnsi="宋体"/>
          <w:sz w:val="24"/>
        </w:rPr>
        <w:t>.</w:t>
      </w:r>
      <w:r>
        <w:rPr>
          <w:rFonts w:hint="eastAsia" w:ascii="宋体" w:hAnsi="宋体"/>
          <w:sz w:val="24"/>
        </w:rPr>
        <w:tab/>
      </w:r>
      <w:r>
        <w:rPr>
          <w:rFonts w:hint="eastAsia"/>
          <w:sz w:val="24"/>
        </w:rPr>
        <w:t>卖方发生破产清算、注销或吊销营业执照等情形的；</w:t>
      </w:r>
    </w:p>
    <w:p>
      <w:pPr>
        <w:ind w:firstLine="480" w:firstLineChars="200"/>
        <w:rPr>
          <w:sz w:val="24"/>
        </w:rPr>
      </w:pPr>
      <w:r>
        <w:rPr>
          <w:rFonts w:hint="eastAsia"/>
          <w:sz w:val="24"/>
        </w:rPr>
        <w:t>5</w:t>
      </w:r>
      <w:r>
        <w:rPr>
          <w:rFonts w:hint="eastAsia" w:ascii="宋体" w:hAnsi="宋体"/>
          <w:sz w:val="24"/>
        </w:rPr>
        <w:t>.</w:t>
      </w:r>
      <w:r>
        <w:rPr>
          <w:rFonts w:hint="eastAsia" w:ascii="宋体" w:hAnsi="宋体"/>
          <w:sz w:val="24"/>
        </w:rPr>
        <w:tab/>
      </w:r>
      <w:r>
        <w:rPr>
          <w:rFonts w:hint="eastAsia"/>
          <w:sz w:val="24"/>
        </w:rPr>
        <w:t>本合同约定的其他买方解除合同的情形。</w:t>
      </w:r>
    </w:p>
    <w:p>
      <w:pPr>
        <w:ind w:firstLine="480" w:firstLineChars="200"/>
        <w:rPr>
          <w:sz w:val="24"/>
        </w:rPr>
      </w:pPr>
      <w:r>
        <w:rPr>
          <w:rFonts w:hint="eastAsia"/>
          <w:sz w:val="24"/>
        </w:rPr>
        <w:t>发生如下任何一种情形的，卖方有权解除合同且无需承担违约责任：</w:t>
      </w:r>
    </w:p>
    <w:p>
      <w:pPr>
        <w:ind w:firstLine="480" w:firstLineChars="200"/>
        <w:rPr>
          <w:sz w:val="24"/>
        </w:rPr>
      </w:pPr>
      <w:r>
        <w:rPr>
          <w:rFonts w:hint="eastAsia"/>
          <w:sz w:val="24"/>
        </w:rPr>
        <w:t>1</w:t>
      </w:r>
      <w:r>
        <w:rPr>
          <w:rFonts w:hint="eastAsia" w:ascii="宋体" w:hAnsi="宋体"/>
          <w:sz w:val="24"/>
        </w:rPr>
        <w:t>.</w:t>
      </w:r>
      <w:r>
        <w:rPr>
          <w:rFonts w:hint="eastAsia" w:ascii="宋体" w:hAnsi="宋体"/>
          <w:sz w:val="24"/>
        </w:rPr>
        <w:tab/>
      </w:r>
      <w:r>
        <w:rPr>
          <w:rFonts w:hint="eastAsia"/>
          <w:sz w:val="24"/>
        </w:rPr>
        <w:t>买方违反本合同义务，经卖方书面通知后【】日内仍未纠正的；</w:t>
      </w:r>
    </w:p>
    <w:p>
      <w:pPr>
        <w:ind w:firstLine="480" w:firstLineChars="200"/>
        <w:rPr>
          <w:sz w:val="24"/>
        </w:rPr>
      </w:pPr>
      <w:r>
        <w:rPr>
          <w:rFonts w:hint="eastAsia"/>
          <w:sz w:val="24"/>
        </w:rPr>
        <w:t>2</w:t>
      </w:r>
      <w:r>
        <w:rPr>
          <w:rFonts w:hint="eastAsia" w:ascii="宋体" w:hAnsi="宋体"/>
          <w:sz w:val="24"/>
        </w:rPr>
        <w:t>.</w:t>
      </w:r>
      <w:r>
        <w:rPr>
          <w:rFonts w:hint="eastAsia" w:ascii="宋体" w:hAnsi="宋体"/>
          <w:sz w:val="24"/>
        </w:rPr>
        <w:tab/>
      </w:r>
      <w:r>
        <w:rPr>
          <w:rFonts w:hint="eastAsia"/>
          <w:sz w:val="24"/>
        </w:rPr>
        <w:t>买方不履行本合同义务，经卖方书面通知后【】日内仍未履行的；</w:t>
      </w:r>
    </w:p>
    <w:p>
      <w:pPr>
        <w:ind w:firstLine="480" w:firstLineChars="200"/>
        <w:rPr>
          <w:sz w:val="24"/>
        </w:rPr>
      </w:pPr>
      <w:r>
        <w:rPr>
          <w:rFonts w:hint="eastAsia"/>
          <w:sz w:val="24"/>
        </w:rPr>
        <w:t>3</w:t>
      </w:r>
      <w:r>
        <w:rPr>
          <w:rFonts w:hint="eastAsia" w:ascii="宋体" w:hAnsi="宋体"/>
          <w:sz w:val="24"/>
        </w:rPr>
        <w:t>.</w:t>
      </w:r>
      <w:r>
        <w:rPr>
          <w:rFonts w:hint="eastAsia" w:ascii="宋体" w:hAnsi="宋体"/>
          <w:sz w:val="24"/>
        </w:rPr>
        <w:tab/>
      </w:r>
      <w:r>
        <w:rPr>
          <w:rFonts w:hint="eastAsia"/>
          <w:sz w:val="24"/>
        </w:rPr>
        <w:t>买方发生破产清算、注销或吊销营业执照等情形的；</w:t>
      </w:r>
    </w:p>
    <w:p>
      <w:pPr>
        <w:ind w:firstLine="480" w:firstLineChars="200"/>
        <w:rPr>
          <w:sz w:val="24"/>
        </w:rPr>
      </w:pPr>
      <w:r>
        <w:rPr>
          <w:rFonts w:hint="eastAsia"/>
          <w:sz w:val="24"/>
        </w:rPr>
        <w:t>4</w:t>
      </w:r>
      <w:r>
        <w:rPr>
          <w:rFonts w:hint="eastAsia" w:ascii="宋体" w:hAnsi="宋体"/>
          <w:sz w:val="24"/>
        </w:rPr>
        <w:t>.</w:t>
      </w:r>
      <w:r>
        <w:rPr>
          <w:rFonts w:hint="eastAsia" w:ascii="宋体" w:hAnsi="宋体"/>
          <w:sz w:val="24"/>
        </w:rPr>
        <w:tab/>
      </w:r>
      <w:r>
        <w:rPr>
          <w:rFonts w:hint="eastAsia"/>
          <w:sz w:val="24"/>
        </w:rPr>
        <w:t>本合同约定的其他卖方解除合同的情形。</w:t>
      </w:r>
    </w:p>
    <w:p>
      <w:pPr>
        <w:spacing w:line="500" w:lineRule="exact"/>
        <w:ind w:firstLine="482"/>
        <w:outlineLvl w:val="0"/>
        <w:rPr>
          <w:rFonts w:hint="eastAsia" w:ascii="宋体" w:hAnsi="宋体"/>
          <w:b/>
          <w:sz w:val="24"/>
        </w:rPr>
      </w:pPr>
      <w:r>
        <w:rPr>
          <w:rFonts w:hint="eastAsia" w:ascii="宋体" w:hAnsi="宋体"/>
          <w:b/>
          <w:sz w:val="24"/>
        </w:rPr>
        <w:t>七、</w:t>
      </w:r>
      <w:r>
        <w:rPr>
          <w:rFonts w:hint="eastAsia" w:ascii="宋体" w:hAnsi="宋体"/>
          <w:b/>
          <w:sz w:val="24"/>
        </w:rPr>
        <w:tab/>
      </w:r>
      <w:r>
        <w:rPr>
          <w:rFonts w:hint="eastAsia" w:ascii="宋体" w:hAnsi="宋体"/>
          <w:b/>
          <w:sz w:val="24"/>
        </w:rPr>
        <w:t>违约责任</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合同履行过程中双方应加强沟通，因卖方原因未按照合同规定的时间、数量发运煤炭的，卖方应承担由此造成的经济损失【，每逾期一日，按照当期应发货物对应货款的【】支付违约金】。卖方逾期交付超过【】日的，买方有权解除合同【并扣留履约保证金作为违约金。买方实际损失超出履约保证金的，卖方还应赔偿超出履约保证金的部分】。</w:t>
      </w:r>
    </w:p>
    <w:p>
      <w:pPr>
        <w:ind w:firstLine="482"/>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因卖方提供的煤炭不符合本合同质量要求导致买方缺煤停机或造成设备异常损坏的，卖方应采取更换、补发等替代方式提供符合合同约定的煤炭，并承担由此产生的费用，给买方造成的经济损失应予以全额赔偿，如质量不合格煤炭超过当期发货数量的【】%的，买方有权解除合同并要求卖方按照当期货物总货款的【】支付违约金。</w:t>
      </w:r>
    </w:p>
    <w:p>
      <w:pPr>
        <w:ind w:firstLine="48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双方约定的其他条款：</w:t>
      </w:r>
    </w:p>
    <w:p>
      <w:pPr>
        <w:ind w:firstLine="480"/>
        <w:rPr>
          <w:rFonts w:ascii="宋体" w:hAnsi="宋体"/>
          <w:sz w:val="24"/>
        </w:rPr>
      </w:pPr>
      <w:r>
        <w:rPr>
          <w:rFonts w:hint="eastAsia" w:ascii="宋体" w:hAnsi="宋体"/>
          <w:sz w:val="24"/>
        </w:rPr>
        <w:t>【履约保证金：卖方参与竞价时一次性交付的金额【   】万元作为履约保证金。卖方参与竞价时未交付保证金的，卖方应于【】向买方支付履约保证金人民币【】元，待卖方履行完全部合同义务后【】日内且其提供的货物不存在争议的，由买方无息返还给卖方。卖方未提供履约保证金的，买方有权【】。】</w:t>
      </w:r>
    </w:p>
    <w:p>
      <w:pPr>
        <w:ind w:firstLine="480"/>
        <w:rPr>
          <w:sz w:val="24"/>
        </w:rPr>
      </w:pPr>
      <w:r>
        <w:rPr>
          <w:rFonts w:hint="eastAsia" w:ascii="宋体" w:hAnsi="宋体"/>
          <w:sz w:val="24"/>
        </w:rPr>
        <w:t>【因供货质量指标违约或未能满足《商品煤质量管理暂行办法》等国家相关政策要求和本合同约定，或达到拒收</w:t>
      </w:r>
      <w:r>
        <w:rPr>
          <w:rFonts w:ascii="宋体" w:hAnsi="宋体"/>
          <w:sz w:val="24"/>
        </w:rPr>
        <w:t>条件</w:t>
      </w:r>
      <w:r>
        <w:rPr>
          <w:rFonts w:hint="eastAsia" w:ascii="宋体" w:hAnsi="宋体"/>
          <w:sz w:val="24"/>
        </w:rPr>
        <w:t>的，买方有权拒收。如买方选择拒收的，卖方应按买方要求限期改正，如卖方不采取补救措施或补救仍不符合要求的，买方有权终止本合同并扣除履约保证金，并不予支付货款，卖方应承担违约责任并赔偿由此给买方造成的所有损失。】</w:t>
      </w:r>
    </w:p>
    <w:p>
      <w:pPr>
        <w:spacing w:line="500" w:lineRule="exact"/>
        <w:ind w:firstLine="482"/>
        <w:outlineLvl w:val="0"/>
        <w:rPr>
          <w:rFonts w:hint="eastAsia" w:ascii="宋体" w:hAnsi="宋体"/>
          <w:b/>
          <w:sz w:val="24"/>
        </w:rPr>
      </w:pPr>
      <w:r>
        <w:rPr>
          <w:rFonts w:hint="eastAsia" w:ascii="宋体" w:hAnsi="宋体"/>
          <w:b/>
          <w:sz w:val="24"/>
        </w:rPr>
        <w:t>八、</w:t>
      </w:r>
      <w:r>
        <w:rPr>
          <w:rFonts w:hint="eastAsia" w:ascii="宋体" w:hAnsi="宋体"/>
          <w:b/>
          <w:sz w:val="24"/>
        </w:rPr>
        <w:tab/>
      </w:r>
      <w:r>
        <w:rPr>
          <w:rFonts w:hint="eastAsia" w:ascii="宋体" w:hAnsi="宋体"/>
          <w:b/>
          <w:sz w:val="24"/>
        </w:rPr>
        <w:t>不可抗力</w:t>
      </w:r>
    </w:p>
    <w:p>
      <w:pPr>
        <w:ind w:firstLine="480"/>
        <w:rPr>
          <w:sz w:val="24"/>
        </w:rPr>
      </w:pPr>
      <w:r>
        <w:rPr>
          <w:rFonts w:hint="eastAsia"/>
          <w:sz w:val="24"/>
        </w:rPr>
        <w:t>1.</w:t>
      </w:r>
      <w:r>
        <w:rPr>
          <w:rFonts w:hint="eastAsia"/>
          <w:sz w:val="24"/>
        </w:rPr>
        <w:tab/>
      </w:r>
      <w:r>
        <w:rPr>
          <w:rFonts w:hint="eastAsia"/>
          <w:sz w:val="24"/>
        </w:rPr>
        <w:t>在本合同履行过程中，如遇不可抗力（包括但不限于自然灾害、战争、政府征用、没收等不可预见、不能克服、不能避免的事件与因素）致使合同无法正常履行的，买、卖双方对此均不承担违约责任。</w:t>
      </w:r>
    </w:p>
    <w:p>
      <w:pPr>
        <w:ind w:firstLine="482"/>
        <w:rPr>
          <w:sz w:val="24"/>
        </w:rPr>
      </w:pPr>
      <w:r>
        <w:rPr>
          <w:rFonts w:hint="eastAsia"/>
          <w:sz w:val="24"/>
        </w:rPr>
        <w:t>2.</w:t>
      </w:r>
      <w:r>
        <w:rPr>
          <w:rFonts w:hint="eastAsia"/>
          <w:sz w:val="24"/>
        </w:rPr>
        <w:tab/>
      </w:r>
      <w:r>
        <w:rPr>
          <w:rFonts w:hint="eastAsia"/>
          <w:sz w:val="24"/>
        </w:rPr>
        <w:t>不可抗力发生后，不能正常履行合同的一方应在【】日内将情况通知另外一方，并有义务采取合理措施将损失降到最低，同时应在不可抗力事件停止或影响消除后【】日内向另外一方提供相应书面证明。</w:t>
      </w:r>
    </w:p>
    <w:p>
      <w:pPr>
        <w:ind w:firstLine="482"/>
        <w:rPr>
          <w:sz w:val="24"/>
        </w:rPr>
      </w:pPr>
      <w:r>
        <w:rPr>
          <w:rFonts w:hint="eastAsia"/>
          <w:sz w:val="24"/>
        </w:rPr>
        <w:t>3.</w:t>
      </w:r>
      <w:r>
        <w:rPr>
          <w:rFonts w:hint="eastAsia"/>
          <w:sz w:val="24"/>
        </w:rPr>
        <w:tab/>
      </w:r>
      <w:r>
        <w:rPr>
          <w:rFonts w:hint="eastAsia"/>
          <w:sz w:val="24"/>
        </w:rPr>
        <w:t>不可抗力事件停止或影响消除后，对于本合同相关的约定事项是否延期履行、部分履行或解除本合同，由双方协商解决。</w:t>
      </w:r>
    </w:p>
    <w:p>
      <w:pPr>
        <w:spacing w:line="500" w:lineRule="exact"/>
        <w:ind w:firstLine="482"/>
        <w:outlineLvl w:val="0"/>
        <w:rPr>
          <w:rFonts w:hint="eastAsia" w:ascii="宋体" w:hAnsi="宋体"/>
          <w:b/>
          <w:sz w:val="24"/>
        </w:rPr>
      </w:pPr>
      <w:r>
        <w:rPr>
          <w:rFonts w:hint="eastAsia" w:ascii="宋体" w:hAnsi="宋体"/>
          <w:b/>
          <w:sz w:val="24"/>
        </w:rPr>
        <w:t>九、</w:t>
      </w:r>
      <w:r>
        <w:rPr>
          <w:rFonts w:hint="eastAsia" w:ascii="宋体" w:hAnsi="宋体"/>
          <w:b/>
          <w:sz w:val="24"/>
        </w:rPr>
        <w:tab/>
      </w:r>
      <w:r>
        <w:rPr>
          <w:rFonts w:hint="eastAsia" w:ascii="宋体" w:hAnsi="宋体"/>
          <w:b/>
          <w:sz w:val="24"/>
        </w:rPr>
        <w:t>争议解决</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本合同在履行过程中发生争议，通过协商解决，协商不成，按以下第【】种方式解决：</w:t>
      </w:r>
    </w:p>
    <w:p>
      <w:pPr>
        <w:ind w:firstLine="480"/>
        <w:rPr>
          <w:sz w:val="24"/>
        </w:rPr>
      </w:pPr>
      <w:r>
        <w:rPr>
          <w:sz w:val="24"/>
        </w:rPr>
        <w:t>（1）</w:t>
      </w:r>
      <w:r>
        <w:rPr>
          <w:sz w:val="24"/>
        </w:rPr>
        <w:tab/>
      </w:r>
      <w:r>
        <w:rPr>
          <w:rFonts w:hint="eastAsia"/>
          <w:sz w:val="24"/>
        </w:rPr>
        <w:t>向买方住所地人民法院起诉。</w:t>
      </w:r>
    </w:p>
    <w:p>
      <w:pPr>
        <w:ind w:firstLine="482"/>
        <w:rPr>
          <w:sz w:val="24"/>
        </w:rPr>
      </w:pPr>
      <w:r>
        <w:rPr>
          <w:sz w:val="24"/>
        </w:rPr>
        <w:t>（2）</w:t>
      </w:r>
      <w:r>
        <w:rPr>
          <w:sz w:val="24"/>
        </w:rPr>
        <w:tab/>
      </w:r>
      <w:r>
        <w:rPr>
          <w:rFonts w:hint="eastAsia"/>
          <w:sz w:val="24"/>
        </w:rPr>
        <w:t>提交</w:t>
      </w:r>
      <w:r>
        <w:rPr>
          <w:rFonts w:hint="eastAsia" w:ascii="宋体" w:hAnsi="宋体"/>
          <w:sz w:val="24"/>
        </w:rPr>
        <w:t>【】</w:t>
      </w:r>
      <w:r>
        <w:rPr>
          <w:rFonts w:hint="eastAsia"/>
          <w:sz w:val="24"/>
        </w:rPr>
        <w:t>仲裁委员会（仲裁地点为</w:t>
      </w:r>
      <w:r>
        <w:rPr>
          <w:rFonts w:hint="eastAsia" w:ascii="宋体" w:hAnsi="宋体"/>
          <w:sz w:val="24"/>
        </w:rPr>
        <w:t>【】</w:t>
      </w:r>
      <w:r>
        <w:rPr>
          <w:rFonts w:hint="eastAsia"/>
          <w:sz w:val="24"/>
        </w:rPr>
        <w:t>），按照申请仲裁时有效的仲裁规则进行仲裁。仲裁裁决是终局的，对双方均有约束力。</w:t>
      </w:r>
    </w:p>
    <w:p>
      <w:pPr>
        <w:ind w:firstLine="482"/>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在诉讼或仲裁期间，本合同不涉及争议部分的条款仍须履行。</w:t>
      </w:r>
    </w:p>
    <w:p>
      <w:pPr>
        <w:spacing w:line="500" w:lineRule="exact"/>
        <w:ind w:firstLine="482"/>
        <w:outlineLvl w:val="0"/>
        <w:rPr>
          <w:rFonts w:hint="eastAsia" w:ascii="宋体" w:hAnsi="宋体"/>
          <w:b/>
          <w:sz w:val="24"/>
        </w:rPr>
      </w:pPr>
      <w:r>
        <w:rPr>
          <w:rFonts w:hint="eastAsia" w:ascii="宋体" w:hAnsi="宋体"/>
          <w:b/>
          <w:sz w:val="24"/>
        </w:rPr>
        <w:t>十、</w:t>
      </w:r>
      <w:r>
        <w:rPr>
          <w:rFonts w:hint="eastAsia" w:ascii="宋体" w:hAnsi="宋体"/>
          <w:b/>
          <w:sz w:val="24"/>
        </w:rPr>
        <w:tab/>
      </w:r>
      <w:r>
        <w:rPr>
          <w:rFonts w:hint="eastAsia" w:ascii="宋体" w:hAnsi="宋体"/>
          <w:b/>
          <w:sz w:val="24"/>
        </w:rPr>
        <w:t>合同生效及其他</w:t>
      </w:r>
    </w:p>
    <w:p>
      <w:pPr>
        <w:ind w:firstLine="48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 xml:space="preserve">本合同经双方法定代表人或授权代表签字并盖章后生效，合同有效期至【】年【】月【】日。 </w:t>
      </w:r>
    </w:p>
    <w:p>
      <w:pPr>
        <w:snapToGrid w:val="0"/>
        <w:ind w:firstLine="48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本合同由双方保密，未经许可不能对外提供，除非法律规定需要。</w:t>
      </w:r>
    </w:p>
    <w:p>
      <w:pPr>
        <w:ind w:firstLine="48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本合同仅限买卖双方煤炭买卖业务，卖方不得将本合同项下得债权用于债权转让、保理融资、银行贷款、质押和其它融资等业务，否则，给买方造成损失的，卖方应赔偿买方损失。在此情况下，买方可以无条件解除本合同，而不需根据本合同第七条给予卖方任何纠正或整改宽限期。</w:t>
      </w:r>
    </w:p>
    <w:p>
      <w:pPr>
        <w:ind w:firstLine="48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双方约定本合同其他相关事项为：【在执行本合同的过程中，经双方盖章确认的本合同相关的往来传真文件与原件具有同等法律效力，均视为本合同的有效组成部分。如本合同是通过竞价程序订立的，则竞价文件构成本合同的有效组成部分，如有冲突，以本合同内容为准】。</w:t>
      </w:r>
    </w:p>
    <w:p>
      <w:pPr>
        <w:ind w:firstLine="482"/>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未经买方同意，卖方不得将本合同项下的权利和义务全部或部分转让给任何第三方。</w:t>
      </w:r>
    </w:p>
    <w:p>
      <w:pPr>
        <w:ind w:firstLine="482"/>
        <w:rPr>
          <w:rFonts w:ascii="宋体" w:hAnsi="宋体"/>
          <w:sz w:val="24"/>
        </w:rPr>
      </w:pPr>
      <w:r>
        <w:rPr>
          <w:rFonts w:hint="eastAsia" w:ascii="宋体" w:hAnsi="宋体"/>
          <w:sz w:val="24"/>
        </w:rPr>
        <w:t>6.本合同一式【】份，双方各执【】份，具有同等法律效力。</w:t>
      </w:r>
    </w:p>
    <w:p>
      <w:pPr>
        <w:ind w:firstLine="480" w:firstLineChars="200"/>
        <w:rPr>
          <w:rFonts w:ascii="宋体" w:hAnsi="宋体"/>
          <w:sz w:val="24"/>
        </w:rPr>
      </w:pPr>
    </w:p>
    <w:tbl>
      <w:tblPr>
        <w:tblStyle w:val="24"/>
        <w:tblW w:w="829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48"/>
        <w:gridCol w:w="4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卖方（盖章）：</w:t>
            </w:r>
          </w:p>
          <w:p>
            <w:pPr>
              <w:spacing w:line="380" w:lineRule="exact"/>
              <w:rPr>
                <w:rFonts w:ascii="宋体" w:hAnsi="宋体"/>
                <w:sz w:val="24"/>
              </w:rPr>
            </w:pPr>
          </w:p>
        </w:tc>
        <w:tc>
          <w:tcPr>
            <w:tcW w:w="4148" w:type="dxa"/>
            <w:shd w:val="clear" w:color="auto" w:fill="auto"/>
          </w:tcPr>
          <w:p>
            <w:pPr>
              <w:spacing w:line="380" w:lineRule="exact"/>
              <w:rPr>
                <w:rFonts w:ascii="宋体" w:hAnsi="宋体"/>
                <w:sz w:val="24"/>
              </w:rPr>
            </w:pPr>
            <w:r>
              <w:rPr>
                <w:rFonts w:hint="eastAsia" w:ascii="宋体" w:hAnsi="宋体"/>
                <w:sz w:val="24"/>
              </w:rPr>
              <w:t>买方（盖章）：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法定代表人或授权代表（签字）：</w:t>
            </w:r>
          </w:p>
          <w:p>
            <w:pPr>
              <w:spacing w:line="380" w:lineRule="exact"/>
              <w:rPr>
                <w:rFonts w:ascii="宋体" w:hAnsi="宋体"/>
                <w:sz w:val="24"/>
              </w:rPr>
            </w:pPr>
          </w:p>
        </w:tc>
        <w:tc>
          <w:tcPr>
            <w:tcW w:w="4148" w:type="dxa"/>
            <w:shd w:val="clear" w:color="auto" w:fill="auto"/>
          </w:tcPr>
          <w:p>
            <w:pPr>
              <w:spacing w:line="380" w:lineRule="exact"/>
              <w:rPr>
                <w:rFonts w:ascii="宋体" w:hAnsi="宋体"/>
                <w:sz w:val="24"/>
              </w:rPr>
            </w:pPr>
            <w:r>
              <w:rPr>
                <w:rFonts w:hint="eastAsia" w:ascii="宋体" w:hAnsi="宋体"/>
                <w:sz w:val="24"/>
              </w:rPr>
              <w:t>法定代表人或授权代表（签字）：</w:t>
            </w:r>
          </w:p>
          <w:p>
            <w:pPr>
              <w:spacing w:line="38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住所：</w:t>
            </w:r>
          </w:p>
        </w:tc>
        <w:tc>
          <w:tcPr>
            <w:tcW w:w="4148" w:type="dxa"/>
            <w:shd w:val="clear" w:color="auto" w:fill="auto"/>
          </w:tcPr>
          <w:p>
            <w:pPr>
              <w:spacing w:line="380" w:lineRule="exact"/>
              <w:rPr>
                <w:rFonts w:ascii="宋体" w:hAnsi="宋体"/>
                <w:sz w:val="24"/>
              </w:rPr>
            </w:pPr>
            <w:r>
              <w:rPr>
                <w:rFonts w:hint="eastAsia" w:ascii="宋体" w:hAnsi="宋体"/>
                <w:sz w:val="24"/>
              </w:rPr>
              <w:t>住所：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通讯地址：</w:t>
            </w:r>
          </w:p>
        </w:tc>
        <w:tc>
          <w:tcPr>
            <w:tcW w:w="4148" w:type="dxa"/>
            <w:shd w:val="clear" w:color="auto" w:fill="auto"/>
          </w:tcPr>
          <w:p>
            <w:pPr>
              <w:spacing w:line="380" w:lineRule="exact"/>
              <w:rPr>
                <w:rFonts w:ascii="宋体" w:hAnsi="宋体"/>
                <w:sz w:val="24"/>
              </w:rPr>
            </w:pPr>
            <w:r>
              <w:rPr>
                <w:rFonts w:hint="eastAsia" w:ascii="宋体" w:hAnsi="宋体"/>
                <w:sz w:val="24"/>
              </w:rPr>
              <w:t>通讯地址：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联系人：</w:t>
            </w:r>
          </w:p>
        </w:tc>
        <w:tc>
          <w:tcPr>
            <w:tcW w:w="4148" w:type="dxa"/>
            <w:shd w:val="clear" w:color="auto" w:fill="auto"/>
          </w:tcPr>
          <w:p>
            <w:pPr>
              <w:spacing w:line="380" w:lineRule="exact"/>
              <w:rPr>
                <w:rFonts w:ascii="宋体" w:hAnsi="宋体"/>
                <w:sz w:val="24"/>
              </w:rPr>
            </w:pPr>
            <w:r>
              <w:rPr>
                <w:rFonts w:hint="eastAsia" w:ascii="宋体" w:hAnsi="宋体"/>
                <w:sz w:val="24"/>
              </w:rPr>
              <w:t>联系人：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联系电话：</w:t>
            </w:r>
          </w:p>
        </w:tc>
        <w:tc>
          <w:tcPr>
            <w:tcW w:w="4148" w:type="dxa"/>
            <w:shd w:val="clear" w:color="auto" w:fill="auto"/>
          </w:tcPr>
          <w:p>
            <w:pPr>
              <w:spacing w:line="380" w:lineRule="exact"/>
              <w:rPr>
                <w:rFonts w:ascii="宋体" w:hAnsi="宋体"/>
                <w:sz w:val="24"/>
              </w:rPr>
            </w:pPr>
            <w:r>
              <w:rPr>
                <w:rFonts w:hint="eastAsia" w:ascii="宋体" w:hAnsi="宋体"/>
                <w:sz w:val="24"/>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开户行：</w:t>
            </w:r>
          </w:p>
        </w:tc>
        <w:tc>
          <w:tcPr>
            <w:tcW w:w="4148" w:type="dxa"/>
            <w:shd w:val="clear" w:color="auto" w:fill="auto"/>
          </w:tcPr>
          <w:p>
            <w:pPr>
              <w:spacing w:line="380" w:lineRule="exact"/>
              <w:rPr>
                <w:rFonts w:ascii="宋体" w:hAnsi="宋体"/>
                <w:sz w:val="24"/>
              </w:rPr>
            </w:pPr>
            <w:r>
              <w:rPr>
                <w:rFonts w:hint="eastAsia" w:ascii="宋体" w:hAnsi="宋体"/>
                <w:sz w:val="24"/>
              </w:rPr>
              <w:t>开户行：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账号：</w:t>
            </w:r>
          </w:p>
        </w:tc>
        <w:tc>
          <w:tcPr>
            <w:tcW w:w="4148" w:type="dxa"/>
            <w:shd w:val="clear" w:color="auto" w:fill="auto"/>
          </w:tcPr>
          <w:p>
            <w:pPr>
              <w:spacing w:line="380" w:lineRule="exact"/>
              <w:rPr>
                <w:rFonts w:ascii="宋体" w:hAnsi="宋体"/>
                <w:sz w:val="24"/>
              </w:rPr>
            </w:pPr>
            <w:r>
              <w:rPr>
                <w:rFonts w:hint="eastAsia" w:ascii="宋体" w:hAnsi="宋体"/>
                <w:sz w:val="24"/>
              </w:rPr>
              <w:t>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r>
              <w:rPr>
                <w:rFonts w:hint="eastAsia" w:ascii="宋体" w:hAnsi="宋体"/>
                <w:sz w:val="24"/>
              </w:rPr>
              <w:t>税号：</w:t>
            </w:r>
          </w:p>
        </w:tc>
        <w:tc>
          <w:tcPr>
            <w:tcW w:w="4148" w:type="dxa"/>
            <w:shd w:val="clear" w:color="auto" w:fill="auto"/>
          </w:tcPr>
          <w:p>
            <w:pPr>
              <w:spacing w:line="380" w:lineRule="exact"/>
              <w:rPr>
                <w:rFonts w:ascii="宋体" w:hAnsi="宋体"/>
                <w:sz w:val="24"/>
              </w:rPr>
            </w:pPr>
            <w:r>
              <w:rPr>
                <w:rFonts w:hint="eastAsia" w:ascii="宋体" w:hAnsi="宋体"/>
                <w:sz w:val="24"/>
              </w:rPr>
              <w:t>税号：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48" w:type="dxa"/>
            <w:shd w:val="clear" w:color="auto" w:fill="auto"/>
          </w:tcPr>
          <w:p>
            <w:pPr>
              <w:spacing w:line="380" w:lineRule="exact"/>
              <w:rPr>
                <w:rFonts w:ascii="宋体" w:hAnsi="宋体"/>
                <w:sz w:val="24"/>
              </w:rPr>
            </w:pPr>
          </w:p>
        </w:tc>
        <w:tc>
          <w:tcPr>
            <w:tcW w:w="4148" w:type="dxa"/>
            <w:shd w:val="clear" w:color="auto" w:fill="auto"/>
          </w:tcPr>
          <w:p>
            <w:pPr>
              <w:spacing w:line="380" w:lineRule="exact"/>
              <w:rPr>
                <w:rFonts w:ascii="宋体" w:hAnsi="宋体"/>
                <w:sz w:val="24"/>
              </w:rPr>
            </w:pPr>
          </w:p>
        </w:tc>
      </w:tr>
    </w:tbl>
    <w:p/>
    <w:p>
      <w:pPr>
        <w:widowControl/>
        <w:jc w:val="left"/>
        <w:rPr>
          <w:rFonts w:asciiTheme="minorEastAsia" w:hAnsiTheme="minorEastAsia"/>
          <w:b/>
          <w:bCs/>
          <w:sz w:val="24"/>
        </w:rPr>
      </w:pPr>
      <w:r>
        <w:rPr>
          <w:rFonts w:asciiTheme="minorEastAsia" w:hAnsiTheme="minorEastAsia"/>
          <w:b/>
          <w:bCs/>
          <w:sz w:val="24"/>
        </w:rPr>
        <w:br w:type="page"/>
      </w:r>
    </w:p>
    <w:p>
      <w:pPr>
        <w:spacing w:line="500" w:lineRule="exact"/>
        <w:ind w:firstLine="482"/>
        <w:outlineLvl w:val="0"/>
        <w:rPr>
          <w:rFonts w:hint="eastAsia" w:ascii="宋体" w:hAnsi="宋体"/>
          <w:b/>
          <w:sz w:val="24"/>
        </w:rPr>
      </w:pPr>
      <w:r>
        <w:rPr>
          <w:rFonts w:hint="eastAsia" w:ascii="宋体" w:hAnsi="宋体"/>
          <w:b/>
          <w:sz w:val="24"/>
        </w:rPr>
        <w:t>附件1</w:t>
      </w:r>
    </w:p>
    <w:p>
      <w:pPr>
        <w:spacing w:line="400" w:lineRule="exact"/>
        <w:ind w:firstLine="480" w:firstLineChars="200"/>
        <w:jc w:val="center"/>
        <w:rPr>
          <w:rFonts w:asciiTheme="minorEastAsia" w:hAnsiTheme="minorEastAsia"/>
          <w:bCs/>
          <w:sz w:val="24"/>
        </w:rPr>
      </w:pPr>
    </w:p>
    <w:p>
      <w:pPr>
        <w:spacing w:line="400" w:lineRule="exact"/>
        <w:ind w:firstLine="482" w:firstLineChars="200"/>
        <w:jc w:val="center"/>
        <w:rPr>
          <w:rFonts w:asciiTheme="minorEastAsia" w:hAnsiTheme="minorEastAsia"/>
          <w:b/>
          <w:bCs/>
          <w:sz w:val="24"/>
        </w:rPr>
      </w:pPr>
      <w:r>
        <w:rPr>
          <w:rFonts w:hint="eastAsia" w:asciiTheme="minorEastAsia" w:hAnsiTheme="minorEastAsia"/>
          <w:b/>
          <w:bCs/>
          <w:sz w:val="24"/>
        </w:rPr>
        <w:t>买方委托结算方名单与结算信息</w:t>
      </w:r>
    </w:p>
    <w:p>
      <w:pPr>
        <w:spacing w:line="400" w:lineRule="exact"/>
        <w:ind w:firstLine="480" w:firstLineChars="200"/>
        <w:jc w:val="center"/>
        <w:rPr>
          <w:rFonts w:asciiTheme="minorEastAsia" w:hAnsiTheme="minorEastAsia"/>
          <w:bCs/>
          <w:sz w:val="24"/>
        </w:rPr>
      </w:pPr>
    </w:p>
    <w:tbl>
      <w:tblPr>
        <w:tblStyle w:val="65"/>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1303"/>
        <w:gridCol w:w="1703"/>
        <w:gridCol w:w="1558"/>
        <w:gridCol w:w="1845"/>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Merge w:val="restart"/>
            <w:vAlign w:val="center"/>
          </w:tcPr>
          <w:p>
            <w:pPr>
              <w:spacing w:line="400" w:lineRule="exact"/>
              <w:jc w:val="center"/>
              <w:rPr>
                <w:rFonts w:asciiTheme="minorEastAsia" w:hAnsiTheme="minorEastAsia"/>
                <w:b/>
                <w:bCs/>
                <w:sz w:val="24"/>
              </w:rPr>
            </w:pPr>
            <w:r>
              <w:rPr>
                <w:rFonts w:asciiTheme="minorEastAsia" w:hAnsiTheme="minorEastAsia"/>
                <w:b/>
                <w:bCs/>
                <w:sz w:val="24"/>
              </w:rPr>
              <w:t>委托结算方</w:t>
            </w:r>
            <w:r>
              <w:rPr>
                <w:rFonts w:hint="eastAsia" w:asciiTheme="minorEastAsia" w:hAnsiTheme="minorEastAsia"/>
                <w:b/>
                <w:bCs/>
                <w:sz w:val="24"/>
              </w:rPr>
              <w:t>名称</w:t>
            </w:r>
          </w:p>
        </w:tc>
        <w:tc>
          <w:tcPr>
            <w:tcW w:w="7719" w:type="dxa"/>
            <w:gridSpan w:val="5"/>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开票信息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Merge w:val="continue"/>
            <w:vAlign w:val="center"/>
          </w:tcPr>
          <w:p>
            <w:pPr>
              <w:spacing w:line="400" w:lineRule="exact"/>
              <w:jc w:val="center"/>
              <w:rPr>
                <w:rFonts w:asciiTheme="minorEastAsia" w:hAnsiTheme="minorEastAsia"/>
                <w:b/>
                <w:bCs/>
                <w:sz w:val="24"/>
              </w:rPr>
            </w:pPr>
          </w:p>
        </w:tc>
        <w:tc>
          <w:tcPr>
            <w:tcW w:w="1303" w:type="dxa"/>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税号</w:t>
            </w:r>
          </w:p>
        </w:tc>
        <w:tc>
          <w:tcPr>
            <w:tcW w:w="1703" w:type="dxa"/>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开户行</w:t>
            </w:r>
          </w:p>
        </w:tc>
        <w:tc>
          <w:tcPr>
            <w:tcW w:w="1558" w:type="dxa"/>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账号</w:t>
            </w:r>
          </w:p>
        </w:tc>
        <w:tc>
          <w:tcPr>
            <w:tcW w:w="1845" w:type="dxa"/>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地址</w:t>
            </w:r>
          </w:p>
        </w:tc>
        <w:tc>
          <w:tcPr>
            <w:tcW w:w="1310" w:type="dxa"/>
            <w:vAlign w:val="center"/>
          </w:tcPr>
          <w:p>
            <w:pPr>
              <w:spacing w:line="400" w:lineRule="exact"/>
              <w:jc w:val="center"/>
              <w:rPr>
                <w:rFonts w:asciiTheme="minorEastAsia" w:hAnsiTheme="minorEastAsia"/>
                <w:b/>
                <w:bCs/>
                <w:sz w:val="24"/>
              </w:rPr>
            </w:pPr>
            <w:r>
              <w:rPr>
                <w:rFonts w:hint="eastAsia" w:asciiTheme="minorEastAsia" w:hAnsiTheme="minorEastAsia"/>
                <w:b/>
                <w:bCs/>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Theme="minorEastAsia" w:hAnsiTheme="minorEastAsia"/>
                <w:bCs/>
                <w:sz w:val="24"/>
              </w:rPr>
            </w:pPr>
          </w:p>
        </w:tc>
        <w:tc>
          <w:tcPr>
            <w:tcW w:w="1703" w:type="dxa"/>
            <w:vAlign w:val="center"/>
          </w:tcPr>
          <w:p>
            <w:pPr>
              <w:spacing w:line="300" w:lineRule="exact"/>
              <w:jc w:val="center"/>
              <w:rPr>
                <w:rFonts w:asciiTheme="minorEastAsia" w:hAnsiTheme="minorEastAsia"/>
                <w:bCs/>
                <w:sz w:val="24"/>
              </w:rPr>
            </w:pPr>
          </w:p>
        </w:tc>
        <w:tc>
          <w:tcPr>
            <w:tcW w:w="1558" w:type="dxa"/>
            <w:vAlign w:val="center"/>
          </w:tcPr>
          <w:p>
            <w:pPr>
              <w:spacing w:line="300" w:lineRule="exact"/>
              <w:jc w:val="center"/>
              <w:rPr>
                <w:rFonts w:asciiTheme="minorEastAsia" w:hAnsiTheme="minorEastAsia"/>
                <w:bCs/>
                <w:sz w:val="24"/>
              </w:rPr>
            </w:pPr>
          </w:p>
        </w:tc>
        <w:tc>
          <w:tcPr>
            <w:tcW w:w="1845" w:type="dxa"/>
          </w:tcPr>
          <w:p>
            <w:pPr>
              <w:spacing w:line="300" w:lineRule="exact"/>
              <w:jc w:val="center"/>
              <w:rPr>
                <w:rFonts w:asciiTheme="minorEastAsia" w:hAnsiTheme="minorEastAsia"/>
                <w:bCs/>
                <w:sz w:val="24"/>
              </w:rPr>
            </w:pPr>
          </w:p>
        </w:tc>
        <w:tc>
          <w:tcPr>
            <w:tcW w:w="1310" w:type="dxa"/>
          </w:tcPr>
          <w:p>
            <w:pPr>
              <w:spacing w:line="300" w:lineRule="exact"/>
              <w:jc w:val="center"/>
              <w:rPr>
                <w:rFonts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Theme="minorEastAsia" w:hAnsiTheme="minorEastAsia"/>
                <w:bCs/>
                <w:sz w:val="24"/>
              </w:rPr>
            </w:pPr>
          </w:p>
        </w:tc>
        <w:tc>
          <w:tcPr>
            <w:tcW w:w="1703" w:type="dxa"/>
            <w:vAlign w:val="center"/>
          </w:tcPr>
          <w:p>
            <w:pPr>
              <w:spacing w:line="300" w:lineRule="exact"/>
              <w:jc w:val="center"/>
              <w:rPr>
                <w:rFonts w:asciiTheme="minorEastAsia" w:hAnsiTheme="minorEastAsia"/>
                <w:bCs/>
                <w:sz w:val="24"/>
              </w:rPr>
            </w:pPr>
          </w:p>
        </w:tc>
        <w:tc>
          <w:tcPr>
            <w:tcW w:w="1558" w:type="dxa"/>
            <w:vAlign w:val="center"/>
          </w:tcPr>
          <w:p>
            <w:pPr>
              <w:spacing w:line="300" w:lineRule="exact"/>
              <w:jc w:val="center"/>
              <w:rPr>
                <w:rFonts w:asciiTheme="minorEastAsia" w:hAnsiTheme="minorEastAsia"/>
                <w:bCs/>
                <w:sz w:val="24"/>
              </w:rPr>
            </w:pPr>
          </w:p>
        </w:tc>
        <w:tc>
          <w:tcPr>
            <w:tcW w:w="1845" w:type="dxa"/>
          </w:tcPr>
          <w:p>
            <w:pPr>
              <w:spacing w:line="300" w:lineRule="exact"/>
              <w:jc w:val="center"/>
              <w:rPr>
                <w:rFonts w:asciiTheme="minorEastAsia" w:hAnsiTheme="minorEastAsia"/>
                <w:bCs/>
                <w:sz w:val="24"/>
              </w:rPr>
            </w:pPr>
          </w:p>
        </w:tc>
        <w:tc>
          <w:tcPr>
            <w:tcW w:w="1310" w:type="dxa"/>
          </w:tcPr>
          <w:p>
            <w:pPr>
              <w:spacing w:line="300" w:lineRule="exact"/>
              <w:jc w:val="center"/>
              <w:rPr>
                <w:rFonts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宋体" w:hAnsi="宋体"/>
                <w:bCs/>
                <w:sz w:val="24"/>
              </w:rPr>
            </w:pPr>
          </w:p>
        </w:tc>
        <w:tc>
          <w:tcPr>
            <w:tcW w:w="1703" w:type="dxa"/>
            <w:vAlign w:val="center"/>
          </w:tcPr>
          <w:p>
            <w:pPr>
              <w:spacing w:line="300" w:lineRule="exact"/>
              <w:jc w:val="center"/>
              <w:rPr>
                <w:rFonts w:ascii="宋体" w:hAnsi="宋体"/>
                <w:bCs/>
                <w:sz w:val="24"/>
              </w:rPr>
            </w:pPr>
          </w:p>
        </w:tc>
        <w:tc>
          <w:tcPr>
            <w:tcW w:w="1558" w:type="dxa"/>
            <w:vAlign w:val="center"/>
          </w:tcPr>
          <w:p>
            <w:pPr>
              <w:spacing w:line="300" w:lineRule="exact"/>
              <w:jc w:val="center"/>
              <w:rPr>
                <w:rFonts w:ascii="宋体" w:hAnsi="宋体"/>
                <w:bCs/>
                <w:sz w:val="24"/>
              </w:rPr>
            </w:pPr>
          </w:p>
        </w:tc>
        <w:tc>
          <w:tcPr>
            <w:tcW w:w="1845" w:type="dxa"/>
          </w:tcPr>
          <w:p>
            <w:pPr>
              <w:spacing w:line="300" w:lineRule="exact"/>
              <w:jc w:val="center"/>
              <w:rPr>
                <w:rFonts w:ascii="宋体" w:hAnsi="宋体"/>
                <w:bCs/>
                <w:sz w:val="24"/>
              </w:rPr>
            </w:pPr>
          </w:p>
        </w:tc>
        <w:tc>
          <w:tcPr>
            <w:tcW w:w="1310" w:type="dxa"/>
          </w:tcPr>
          <w:p>
            <w:pPr>
              <w:spacing w:line="3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Theme="minorEastAsia" w:hAnsiTheme="minorEastAsia"/>
                <w:bCs/>
                <w:sz w:val="24"/>
              </w:rPr>
            </w:pPr>
          </w:p>
        </w:tc>
        <w:tc>
          <w:tcPr>
            <w:tcW w:w="1703" w:type="dxa"/>
            <w:vAlign w:val="center"/>
          </w:tcPr>
          <w:p>
            <w:pPr>
              <w:spacing w:line="300" w:lineRule="exact"/>
              <w:jc w:val="center"/>
              <w:rPr>
                <w:rFonts w:asciiTheme="minorEastAsia" w:hAnsiTheme="minorEastAsia"/>
                <w:bCs/>
                <w:sz w:val="24"/>
              </w:rPr>
            </w:pPr>
          </w:p>
        </w:tc>
        <w:tc>
          <w:tcPr>
            <w:tcW w:w="1558" w:type="dxa"/>
            <w:vAlign w:val="center"/>
          </w:tcPr>
          <w:p>
            <w:pPr>
              <w:spacing w:line="300" w:lineRule="exact"/>
              <w:jc w:val="center"/>
              <w:rPr>
                <w:rFonts w:asciiTheme="minorEastAsia" w:hAnsiTheme="minorEastAsia"/>
                <w:bCs/>
                <w:sz w:val="24"/>
              </w:rPr>
            </w:pPr>
          </w:p>
        </w:tc>
        <w:tc>
          <w:tcPr>
            <w:tcW w:w="1845" w:type="dxa"/>
          </w:tcPr>
          <w:p>
            <w:pPr>
              <w:spacing w:line="300" w:lineRule="exact"/>
              <w:jc w:val="center"/>
              <w:rPr>
                <w:rFonts w:asciiTheme="minorEastAsia" w:hAnsiTheme="minorEastAsia"/>
                <w:bCs/>
                <w:sz w:val="24"/>
              </w:rPr>
            </w:pPr>
          </w:p>
        </w:tc>
        <w:tc>
          <w:tcPr>
            <w:tcW w:w="1310" w:type="dxa"/>
          </w:tcPr>
          <w:p>
            <w:pPr>
              <w:spacing w:line="300" w:lineRule="exact"/>
              <w:jc w:val="center"/>
              <w:rPr>
                <w:rFonts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Theme="minorEastAsia" w:hAnsiTheme="minorEastAsia"/>
                <w:bCs/>
                <w:sz w:val="24"/>
              </w:rPr>
            </w:pPr>
          </w:p>
        </w:tc>
        <w:tc>
          <w:tcPr>
            <w:tcW w:w="1703" w:type="dxa"/>
            <w:vAlign w:val="center"/>
          </w:tcPr>
          <w:p>
            <w:pPr>
              <w:spacing w:line="300" w:lineRule="exact"/>
              <w:jc w:val="center"/>
              <w:rPr>
                <w:rFonts w:asciiTheme="minorEastAsia" w:hAnsiTheme="minorEastAsia"/>
                <w:bCs/>
                <w:sz w:val="24"/>
              </w:rPr>
            </w:pPr>
          </w:p>
        </w:tc>
        <w:tc>
          <w:tcPr>
            <w:tcW w:w="1558" w:type="dxa"/>
            <w:vAlign w:val="center"/>
          </w:tcPr>
          <w:p>
            <w:pPr>
              <w:spacing w:line="300" w:lineRule="exact"/>
              <w:jc w:val="center"/>
              <w:rPr>
                <w:rFonts w:asciiTheme="minorEastAsia" w:hAnsiTheme="minorEastAsia"/>
                <w:bCs/>
                <w:sz w:val="24"/>
              </w:rPr>
            </w:pPr>
          </w:p>
        </w:tc>
        <w:tc>
          <w:tcPr>
            <w:tcW w:w="1845" w:type="dxa"/>
          </w:tcPr>
          <w:p>
            <w:pPr>
              <w:spacing w:line="300" w:lineRule="exact"/>
              <w:jc w:val="center"/>
              <w:rPr>
                <w:rFonts w:asciiTheme="minorEastAsia" w:hAnsiTheme="minorEastAsia"/>
                <w:bCs/>
                <w:sz w:val="24"/>
              </w:rPr>
            </w:pPr>
          </w:p>
        </w:tc>
        <w:tc>
          <w:tcPr>
            <w:tcW w:w="1310" w:type="dxa"/>
          </w:tcPr>
          <w:p>
            <w:pPr>
              <w:spacing w:line="300" w:lineRule="exact"/>
              <w:jc w:val="center"/>
              <w:rPr>
                <w:rFonts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Theme="minorEastAsia" w:hAnsiTheme="minorEastAsia"/>
                <w:bCs/>
                <w:sz w:val="24"/>
              </w:rPr>
            </w:pPr>
          </w:p>
        </w:tc>
        <w:tc>
          <w:tcPr>
            <w:tcW w:w="1703" w:type="dxa"/>
            <w:vAlign w:val="center"/>
          </w:tcPr>
          <w:p>
            <w:pPr>
              <w:spacing w:line="300" w:lineRule="exact"/>
              <w:jc w:val="center"/>
              <w:rPr>
                <w:rFonts w:asciiTheme="minorEastAsia" w:hAnsiTheme="minorEastAsia"/>
                <w:bCs/>
                <w:sz w:val="24"/>
              </w:rPr>
            </w:pPr>
          </w:p>
        </w:tc>
        <w:tc>
          <w:tcPr>
            <w:tcW w:w="1558" w:type="dxa"/>
            <w:vAlign w:val="center"/>
          </w:tcPr>
          <w:p>
            <w:pPr>
              <w:spacing w:line="300" w:lineRule="exact"/>
              <w:jc w:val="center"/>
              <w:rPr>
                <w:rFonts w:asciiTheme="minorEastAsia" w:hAnsiTheme="minorEastAsia"/>
                <w:bCs/>
                <w:sz w:val="24"/>
              </w:rPr>
            </w:pPr>
          </w:p>
        </w:tc>
        <w:tc>
          <w:tcPr>
            <w:tcW w:w="1845" w:type="dxa"/>
          </w:tcPr>
          <w:p>
            <w:pPr>
              <w:spacing w:line="300" w:lineRule="exact"/>
              <w:jc w:val="center"/>
              <w:rPr>
                <w:rFonts w:asciiTheme="minorEastAsia" w:hAnsiTheme="minorEastAsia"/>
                <w:bCs/>
                <w:sz w:val="24"/>
              </w:rPr>
            </w:pPr>
          </w:p>
        </w:tc>
        <w:tc>
          <w:tcPr>
            <w:tcW w:w="1310" w:type="dxa"/>
          </w:tcPr>
          <w:p>
            <w:pPr>
              <w:spacing w:line="300" w:lineRule="exact"/>
              <w:jc w:val="center"/>
              <w:rPr>
                <w:rFonts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宋体" w:hAnsi="宋体"/>
                <w:bCs/>
                <w:sz w:val="24"/>
              </w:rPr>
            </w:pPr>
          </w:p>
        </w:tc>
        <w:tc>
          <w:tcPr>
            <w:tcW w:w="1703" w:type="dxa"/>
            <w:vAlign w:val="center"/>
          </w:tcPr>
          <w:p>
            <w:pPr>
              <w:spacing w:line="300" w:lineRule="exact"/>
              <w:jc w:val="center"/>
              <w:rPr>
                <w:rFonts w:ascii="宋体" w:hAnsi="宋体"/>
                <w:bCs/>
                <w:sz w:val="24"/>
              </w:rPr>
            </w:pPr>
          </w:p>
        </w:tc>
        <w:tc>
          <w:tcPr>
            <w:tcW w:w="1558" w:type="dxa"/>
            <w:vAlign w:val="center"/>
          </w:tcPr>
          <w:p>
            <w:pPr>
              <w:spacing w:line="300" w:lineRule="exact"/>
              <w:jc w:val="center"/>
              <w:rPr>
                <w:rFonts w:ascii="宋体" w:hAnsi="宋体"/>
                <w:bCs/>
                <w:sz w:val="24"/>
              </w:rPr>
            </w:pPr>
          </w:p>
        </w:tc>
        <w:tc>
          <w:tcPr>
            <w:tcW w:w="1845" w:type="dxa"/>
          </w:tcPr>
          <w:p>
            <w:pPr>
              <w:spacing w:line="300" w:lineRule="exact"/>
              <w:jc w:val="center"/>
              <w:rPr>
                <w:rFonts w:ascii="宋体" w:hAnsi="宋体"/>
                <w:bCs/>
                <w:sz w:val="24"/>
              </w:rPr>
            </w:pPr>
          </w:p>
        </w:tc>
        <w:tc>
          <w:tcPr>
            <w:tcW w:w="1310" w:type="dxa"/>
          </w:tcPr>
          <w:p>
            <w:pPr>
              <w:spacing w:line="3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宋体" w:hAnsi="宋体" w:cs="宋体"/>
                <w:sz w:val="24"/>
              </w:rPr>
            </w:pPr>
          </w:p>
        </w:tc>
        <w:tc>
          <w:tcPr>
            <w:tcW w:w="1703" w:type="dxa"/>
            <w:vAlign w:val="center"/>
          </w:tcPr>
          <w:p>
            <w:pPr>
              <w:spacing w:line="300" w:lineRule="exact"/>
              <w:jc w:val="center"/>
              <w:rPr>
                <w:rFonts w:ascii="宋体" w:hAnsi="宋体" w:cs="宋体"/>
                <w:sz w:val="24"/>
              </w:rPr>
            </w:pPr>
          </w:p>
        </w:tc>
        <w:tc>
          <w:tcPr>
            <w:tcW w:w="1558" w:type="dxa"/>
            <w:vAlign w:val="center"/>
          </w:tcPr>
          <w:p>
            <w:pPr>
              <w:spacing w:line="300" w:lineRule="exact"/>
              <w:jc w:val="center"/>
              <w:rPr>
                <w:rFonts w:ascii="宋体" w:hAnsi="宋体" w:cs="宋体"/>
                <w:sz w:val="24"/>
              </w:rPr>
            </w:pPr>
          </w:p>
        </w:tc>
        <w:tc>
          <w:tcPr>
            <w:tcW w:w="1845" w:type="dxa"/>
          </w:tcPr>
          <w:p>
            <w:pPr>
              <w:spacing w:line="300" w:lineRule="exact"/>
              <w:jc w:val="center"/>
              <w:rPr>
                <w:rFonts w:ascii="宋体" w:hAnsi="宋体" w:cs="宋体"/>
                <w:sz w:val="24"/>
              </w:rPr>
            </w:pPr>
          </w:p>
        </w:tc>
        <w:tc>
          <w:tcPr>
            <w:tcW w:w="1310" w:type="dxa"/>
          </w:tcPr>
          <w:p>
            <w:pPr>
              <w:spacing w:line="3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9" w:type="dxa"/>
            <w:vAlign w:val="center"/>
          </w:tcPr>
          <w:p>
            <w:pPr>
              <w:spacing w:line="300" w:lineRule="exact"/>
              <w:jc w:val="center"/>
              <w:rPr>
                <w:rFonts w:asciiTheme="minorEastAsia" w:hAnsiTheme="minorEastAsia"/>
                <w:bCs/>
                <w:sz w:val="24"/>
              </w:rPr>
            </w:pPr>
          </w:p>
        </w:tc>
        <w:tc>
          <w:tcPr>
            <w:tcW w:w="1303" w:type="dxa"/>
            <w:vAlign w:val="center"/>
          </w:tcPr>
          <w:p>
            <w:pPr>
              <w:spacing w:line="300" w:lineRule="exact"/>
              <w:jc w:val="center"/>
              <w:rPr>
                <w:rFonts w:ascii="宋体" w:hAnsi="宋体" w:cs="宋体"/>
                <w:sz w:val="24"/>
              </w:rPr>
            </w:pPr>
          </w:p>
        </w:tc>
        <w:tc>
          <w:tcPr>
            <w:tcW w:w="1703" w:type="dxa"/>
            <w:vAlign w:val="center"/>
          </w:tcPr>
          <w:p>
            <w:pPr>
              <w:spacing w:line="300" w:lineRule="exact"/>
              <w:jc w:val="center"/>
              <w:rPr>
                <w:rFonts w:ascii="宋体" w:hAnsi="宋体" w:cs="宋体"/>
                <w:sz w:val="24"/>
              </w:rPr>
            </w:pPr>
          </w:p>
        </w:tc>
        <w:tc>
          <w:tcPr>
            <w:tcW w:w="1558" w:type="dxa"/>
            <w:vAlign w:val="center"/>
          </w:tcPr>
          <w:p>
            <w:pPr>
              <w:spacing w:line="300" w:lineRule="exact"/>
              <w:jc w:val="center"/>
              <w:rPr>
                <w:rFonts w:ascii="宋体" w:hAnsi="宋体" w:cs="宋体"/>
                <w:sz w:val="24"/>
              </w:rPr>
            </w:pPr>
          </w:p>
        </w:tc>
        <w:tc>
          <w:tcPr>
            <w:tcW w:w="1845" w:type="dxa"/>
          </w:tcPr>
          <w:p>
            <w:pPr>
              <w:spacing w:line="300" w:lineRule="exact"/>
              <w:jc w:val="center"/>
              <w:rPr>
                <w:rFonts w:ascii="宋体" w:hAnsi="宋体" w:cs="宋体"/>
                <w:sz w:val="24"/>
              </w:rPr>
            </w:pPr>
          </w:p>
        </w:tc>
        <w:tc>
          <w:tcPr>
            <w:tcW w:w="1310" w:type="dxa"/>
          </w:tcPr>
          <w:p>
            <w:pPr>
              <w:spacing w:line="300" w:lineRule="exact"/>
              <w:jc w:val="center"/>
              <w:rPr>
                <w:rFonts w:ascii="宋体" w:hAnsi="宋体" w:cs="宋体"/>
                <w:sz w:val="24"/>
              </w:rPr>
            </w:pPr>
          </w:p>
        </w:tc>
      </w:tr>
    </w:tbl>
    <w:p>
      <w:pPr>
        <w:jc w:val="center"/>
      </w:pPr>
    </w:p>
    <w:p>
      <w:pPr>
        <w:jc w:val="center"/>
      </w:pPr>
    </w:p>
    <w:p>
      <w:pPr>
        <w:jc w:val="center"/>
      </w:pPr>
    </w:p>
    <w:p>
      <w:pPr>
        <w:spacing w:line="500" w:lineRule="exact"/>
        <w:ind w:firstLine="482"/>
        <w:outlineLvl w:val="0"/>
        <w:rPr>
          <w:rFonts w:hint="eastAsia" w:ascii="宋体" w:hAnsi="宋体"/>
          <w:b/>
          <w:sz w:val="24"/>
        </w:rPr>
      </w:pPr>
      <w:bookmarkStart w:id="3" w:name="_GoBack"/>
      <w:r>
        <w:rPr>
          <w:rFonts w:hint="eastAsia" w:ascii="宋体" w:hAnsi="宋体"/>
          <w:b/>
          <w:sz w:val="24"/>
        </w:rPr>
        <w:t>附件2</w:t>
      </w:r>
    </w:p>
    <w:bookmarkEnd w:id="3"/>
    <w:p>
      <w:pPr>
        <w:spacing w:line="400" w:lineRule="exact"/>
        <w:ind w:firstLine="480" w:firstLineChars="200"/>
        <w:jc w:val="center"/>
        <w:rPr>
          <w:rFonts w:asciiTheme="minorEastAsia" w:hAnsiTheme="minorEastAsia"/>
          <w:bCs/>
          <w:sz w:val="24"/>
        </w:rPr>
      </w:pPr>
    </w:p>
    <w:p>
      <w:pPr>
        <w:spacing w:line="400" w:lineRule="exact"/>
        <w:ind w:firstLine="560" w:firstLineChars="200"/>
        <w:jc w:val="center"/>
        <w:rPr>
          <w:rFonts w:asciiTheme="minorEastAsia" w:hAnsiTheme="minorEastAsia"/>
          <w:bCs/>
          <w:sz w:val="28"/>
          <w:szCs w:val="28"/>
        </w:rPr>
      </w:pPr>
      <w:bookmarkStart w:id="2" w:name="_Hlk20648243"/>
      <w:r>
        <w:rPr>
          <w:rFonts w:hint="eastAsia" w:asciiTheme="minorEastAsia" w:hAnsiTheme="minorEastAsia"/>
          <w:bCs/>
          <w:sz w:val="28"/>
          <w:szCs w:val="28"/>
        </w:rPr>
        <w:t>结算通知</w:t>
      </w:r>
      <w:bookmarkEnd w:id="2"/>
      <w:r>
        <w:rPr>
          <w:rFonts w:hint="eastAsia" w:asciiTheme="minorEastAsia" w:hAnsiTheme="minorEastAsia"/>
          <w:bCs/>
          <w:sz w:val="28"/>
          <w:szCs w:val="28"/>
        </w:rPr>
        <w:t>函</w:t>
      </w:r>
    </w:p>
    <w:p>
      <w:pPr>
        <w:spacing w:line="400" w:lineRule="exact"/>
        <w:rPr>
          <w:rFonts w:asciiTheme="minorEastAsia" w:hAnsiTheme="minorEastAsia"/>
          <w:bCs/>
          <w:sz w:val="24"/>
          <w:u w:val="single"/>
        </w:rPr>
      </w:pPr>
      <w:r>
        <w:rPr>
          <w:rFonts w:hint="eastAsia" w:asciiTheme="minorEastAsia" w:hAnsiTheme="minorEastAsia"/>
          <w:bCs/>
          <w:sz w:val="24"/>
          <w:u w:val="single"/>
        </w:rPr>
        <w:t>【卖方】：</w:t>
      </w:r>
    </w:p>
    <w:p>
      <w:pPr>
        <w:spacing w:before="240" w:line="400" w:lineRule="exact"/>
        <w:ind w:firstLine="480" w:firstLineChars="200"/>
        <w:rPr>
          <w:rFonts w:asciiTheme="minorEastAsia" w:hAnsiTheme="minorEastAsia"/>
          <w:bCs/>
          <w:sz w:val="24"/>
        </w:rPr>
      </w:pPr>
      <w:r>
        <w:rPr>
          <w:rFonts w:hint="eastAsia" w:asciiTheme="minorEastAsia" w:hAnsiTheme="minorEastAsia"/>
          <w:bCs/>
          <w:sz w:val="24"/>
        </w:rPr>
        <w:t>根据贵我双方签订的</w:t>
      </w:r>
      <w:r>
        <w:rPr>
          <w:rFonts w:hint="eastAsia" w:asciiTheme="minorEastAsia" w:hAnsiTheme="minorEastAsia"/>
          <w:sz w:val="24"/>
        </w:rPr>
        <w:t>《煤炭买卖合同》（合同编号：【】</w:t>
      </w:r>
      <w:r>
        <w:rPr>
          <w:rFonts w:hint="eastAsia" w:asciiTheme="minorEastAsia" w:hAnsiTheme="minorEastAsia"/>
          <w:bCs/>
          <w:sz w:val="24"/>
        </w:rPr>
        <w:t>）约定，贵方【】月份发运的煤炭【船舶航次为</w:t>
      </w:r>
      <w:r>
        <w:rPr>
          <w:rFonts w:asciiTheme="minorEastAsia" w:hAnsiTheme="minorEastAsia"/>
          <w:bCs/>
          <w:sz w:val="24"/>
        </w:rPr>
        <w:t xml:space="preserve">      </w:t>
      </w:r>
      <w:r>
        <w:rPr>
          <w:rFonts w:hint="eastAsia" w:asciiTheme="minorEastAsia" w:hAnsiTheme="minorEastAsia"/>
          <w:bCs/>
          <w:sz w:val="24"/>
        </w:rPr>
        <w:t>】，煤种为【</w:t>
      </w:r>
      <w:r>
        <w:rPr>
          <w:rFonts w:asciiTheme="minorEastAsia" w:hAnsiTheme="minorEastAsia"/>
          <w:bCs/>
          <w:sz w:val="24"/>
        </w:rPr>
        <w:t xml:space="preserve">       </w:t>
      </w:r>
      <w:r>
        <w:rPr>
          <w:rFonts w:hint="eastAsia" w:asciiTheme="minorEastAsia" w:hAnsiTheme="minorEastAsia"/>
          <w:bCs/>
          <w:sz w:val="24"/>
        </w:rPr>
        <w:t xml:space="preserve">】（年度【 </w:t>
      </w:r>
      <w:r>
        <w:rPr>
          <w:rFonts w:asciiTheme="minorEastAsia" w:hAnsiTheme="minorEastAsia"/>
          <w:bCs/>
          <w:sz w:val="24"/>
        </w:rPr>
        <w:t xml:space="preserve"> </w:t>
      </w:r>
      <w:r>
        <w:rPr>
          <w:rFonts w:hint="eastAsia" w:asciiTheme="minorEastAsia" w:hAnsiTheme="minorEastAsia"/>
          <w:bCs/>
          <w:sz w:val="24"/>
        </w:rPr>
        <w:t xml:space="preserve">】、月度【 </w:t>
      </w:r>
      <w:r>
        <w:rPr>
          <w:rFonts w:asciiTheme="minorEastAsia" w:hAnsiTheme="minorEastAsia"/>
          <w:bCs/>
          <w:sz w:val="24"/>
        </w:rPr>
        <w:t xml:space="preserve"> </w:t>
      </w:r>
      <w:r>
        <w:rPr>
          <w:rFonts w:hint="eastAsia" w:asciiTheme="minorEastAsia" w:hAnsiTheme="minorEastAsia"/>
          <w:bCs/>
          <w:sz w:val="24"/>
        </w:rPr>
        <w:t>】），数量为【</w:t>
      </w:r>
      <w:r>
        <w:rPr>
          <w:rFonts w:asciiTheme="minorEastAsia" w:hAnsiTheme="minorEastAsia"/>
          <w:bCs/>
          <w:sz w:val="24"/>
        </w:rPr>
        <w:t xml:space="preserve">        </w:t>
      </w:r>
      <w:r>
        <w:rPr>
          <w:rFonts w:hint="eastAsia" w:asciiTheme="minorEastAsia" w:hAnsiTheme="minorEastAsia"/>
          <w:bCs/>
          <w:sz w:val="24"/>
        </w:rPr>
        <w:t xml:space="preserve">】（年度【 </w:t>
      </w:r>
      <w:r>
        <w:rPr>
          <w:rFonts w:asciiTheme="minorEastAsia" w:hAnsiTheme="minorEastAsia"/>
          <w:bCs/>
          <w:sz w:val="24"/>
        </w:rPr>
        <w:t xml:space="preserve">  </w:t>
      </w:r>
      <w:r>
        <w:rPr>
          <w:rFonts w:hint="eastAsia" w:asciiTheme="minorEastAsia" w:hAnsiTheme="minorEastAsia"/>
          <w:bCs/>
          <w:sz w:val="24"/>
        </w:rPr>
        <w:t xml:space="preserve">】、月度【 </w:t>
      </w:r>
      <w:r>
        <w:rPr>
          <w:rFonts w:asciiTheme="minorEastAsia" w:hAnsiTheme="minorEastAsia"/>
          <w:bCs/>
          <w:sz w:val="24"/>
        </w:rPr>
        <w:t xml:space="preserve">  </w:t>
      </w:r>
      <w:r>
        <w:rPr>
          <w:rFonts w:hint="eastAsia" w:asciiTheme="minorEastAsia" w:hAnsiTheme="minorEastAsia"/>
          <w:bCs/>
          <w:sz w:val="24"/>
        </w:rPr>
        <w:t>】），到站（港）为【</w:t>
      </w:r>
      <w:r>
        <w:rPr>
          <w:rFonts w:asciiTheme="minorEastAsia" w:hAnsiTheme="minorEastAsia"/>
          <w:bCs/>
          <w:sz w:val="24"/>
        </w:rPr>
        <w:t xml:space="preserve">         </w:t>
      </w:r>
      <w:r>
        <w:rPr>
          <w:rFonts w:hint="eastAsia" w:asciiTheme="minorEastAsia" w:hAnsiTheme="minorEastAsia"/>
          <w:bCs/>
          <w:sz w:val="24"/>
        </w:rPr>
        <w:t>】，由【</w:t>
      </w:r>
      <w:r>
        <w:rPr>
          <w:rFonts w:asciiTheme="minorEastAsia" w:hAnsiTheme="minorEastAsia"/>
          <w:bCs/>
          <w:sz w:val="24"/>
        </w:rPr>
        <w:t>委托结算方</w:t>
      </w:r>
      <w:r>
        <w:rPr>
          <w:rFonts w:hint="eastAsia" w:asciiTheme="minorEastAsia" w:hAnsiTheme="minorEastAsia"/>
          <w:bCs/>
          <w:sz w:val="24"/>
        </w:rPr>
        <w:t>】与贵方直接办理结算并支付货款。</w:t>
      </w:r>
    </w:p>
    <w:p>
      <w:pPr>
        <w:spacing w:line="400" w:lineRule="exact"/>
        <w:ind w:firstLine="480" w:firstLineChars="200"/>
        <w:rPr>
          <w:rFonts w:asciiTheme="minorEastAsia" w:hAnsiTheme="minorEastAsia"/>
          <w:bCs/>
          <w:sz w:val="24"/>
        </w:rPr>
      </w:pPr>
      <w:r>
        <w:rPr>
          <w:rFonts w:hint="eastAsia" w:asciiTheme="minorEastAsia" w:hAnsiTheme="minorEastAsia"/>
          <w:bCs/>
          <w:sz w:val="24"/>
        </w:rPr>
        <w:t>特此确认！</w:t>
      </w:r>
    </w:p>
    <w:p>
      <w:pPr>
        <w:spacing w:line="400" w:lineRule="exact"/>
        <w:ind w:firstLine="480" w:firstLineChars="200"/>
        <w:rPr>
          <w:rFonts w:asciiTheme="minorEastAsia" w:hAnsiTheme="minorEastAsia"/>
          <w:bCs/>
          <w:sz w:val="24"/>
        </w:rPr>
      </w:pPr>
    </w:p>
    <w:p>
      <w:pPr>
        <w:ind w:left="840" w:firstLine="420"/>
        <w:rPr>
          <w:rFonts w:asciiTheme="minorEastAsia" w:hAnsiTheme="minorEastAsia"/>
          <w:sz w:val="24"/>
        </w:rPr>
      </w:pPr>
    </w:p>
    <w:p>
      <w:pPr>
        <w:tabs>
          <w:tab w:val="left" w:pos="4253"/>
        </w:tabs>
        <w:rPr>
          <w:rFonts w:asciiTheme="minorEastAsia" w:hAnsiTheme="minorEastAsia"/>
          <w:sz w:val="24"/>
        </w:rPr>
      </w:pPr>
      <w:r>
        <w:rPr>
          <w:rFonts w:hint="eastAsia" w:asciiTheme="minorEastAsia" w:hAnsiTheme="minorEastAsia"/>
          <w:sz w:val="24"/>
        </w:rPr>
        <w:t>【</w:t>
      </w:r>
      <w:r>
        <w:rPr>
          <w:rFonts w:asciiTheme="minorEastAsia" w:hAnsiTheme="minorEastAsia"/>
          <w:sz w:val="24"/>
        </w:rPr>
        <w:t>委托结算方</w:t>
      </w:r>
      <w:r>
        <w:rPr>
          <w:rFonts w:hint="eastAsia" w:asciiTheme="minorEastAsia" w:hAnsiTheme="minorEastAsia"/>
          <w:sz w:val="24"/>
        </w:rPr>
        <w:t>】</w:t>
      </w:r>
      <w:r>
        <w:rPr>
          <w:rFonts w:asciiTheme="minorEastAsia" w:hAnsiTheme="minorEastAsia"/>
          <w:sz w:val="24"/>
        </w:rPr>
        <w:tab/>
      </w:r>
      <w:r>
        <w:rPr>
          <w:rFonts w:hint="eastAsia" w:asciiTheme="minorEastAsia" w:hAnsiTheme="minorEastAsia"/>
          <w:sz w:val="24"/>
        </w:rPr>
        <w:t>【买方】</w:t>
      </w:r>
    </w:p>
    <w:p>
      <w:pPr>
        <w:tabs>
          <w:tab w:val="left" w:pos="5103"/>
        </w:tabs>
        <w:ind w:firstLine="960" w:firstLineChars="400"/>
        <w:rPr>
          <w:rFonts w:asciiTheme="minorEastAsia" w:hAnsiTheme="minorEastAsia"/>
          <w:sz w:val="24"/>
        </w:rPr>
      </w:pPr>
      <w:r>
        <w:rPr>
          <w:rFonts w:hint="eastAsia" w:asciiTheme="minorEastAsia" w:hAnsiTheme="minorEastAsia"/>
          <w:sz w:val="24"/>
        </w:rPr>
        <w:t>【】年【】月【】日</w:t>
      </w:r>
      <w:r>
        <w:rPr>
          <w:rFonts w:asciiTheme="minorEastAsia" w:hAnsiTheme="minorEastAsia"/>
          <w:sz w:val="24"/>
        </w:rPr>
        <w:tab/>
      </w:r>
      <w:r>
        <w:rPr>
          <w:rFonts w:hint="eastAsia" w:asciiTheme="minorEastAsia" w:hAnsiTheme="minorEastAsia"/>
          <w:sz w:val="24"/>
        </w:rPr>
        <w:t>【】年【】月【】日</w:t>
      </w:r>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5283445"/>
    </w:sdtPr>
    <w:sdtContent>
      <w:sdt>
        <w:sdtPr>
          <w:id w:val="1728636285"/>
        </w:sdtPr>
        <w:sdtContent>
          <w:p>
            <w:pPr>
              <w:pStyle w:val="12"/>
              <w:jc w:val="center"/>
            </w:pP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8</w:t>
            </w:r>
            <w:r>
              <w:rPr>
                <w:b/>
                <w:bCs/>
                <w:sz w:val="24"/>
                <w:szCs w:val="24"/>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3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pStyle w:val="3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3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44"/>
      <w:suff w:val="nothing"/>
      <w:lvlText w:val="%1.%2.%3　"/>
      <w:lvlJc w:val="left"/>
      <w:pPr>
        <w:ind w:left="0" w:firstLine="0"/>
      </w:pPr>
      <w:rPr>
        <w:rFonts w:hint="eastAsia" w:ascii="黑体" w:hAnsi="Times New Roman" w:eastAsia="黑体"/>
        <w:b w:val="0"/>
        <w:i w:val="0"/>
        <w:sz w:val="21"/>
      </w:rPr>
    </w:lvl>
    <w:lvl w:ilvl="3" w:tentative="0">
      <w:start w:val="1"/>
      <w:numFmt w:val="decimal"/>
      <w:pStyle w:val="34"/>
      <w:suff w:val="nothing"/>
      <w:lvlText w:val="%1.%2.%3.%4　"/>
      <w:lvlJc w:val="left"/>
      <w:pPr>
        <w:ind w:left="0" w:firstLine="0"/>
      </w:pPr>
      <w:rPr>
        <w:rFonts w:hint="eastAsia" w:ascii="黑体" w:hAnsi="Times New Roman" w:eastAsia="黑体"/>
        <w:b w:val="0"/>
        <w:i w:val="0"/>
        <w:sz w:val="21"/>
      </w:rPr>
    </w:lvl>
    <w:lvl w:ilvl="4" w:tentative="0">
      <w:start w:val="1"/>
      <w:numFmt w:val="decimal"/>
      <w:pStyle w:val="33"/>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4C7"/>
    <w:rsid w:val="00004445"/>
    <w:rsid w:val="0001041E"/>
    <w:rsid w:val="000112B7"/>
    <w:rsid w:val="00021F04"/>
    <w:rsid w:val="000222AD"/>
    <w:rsid w:val="0002283B"/>
    <w:rsid w:val="00023390"/>
    <w:rsid w:val="00023E67"/>
    <w:rsid w:val="0002766D"/>
    <w:rsid w:val="00033A54"/>
    <w:rsid w:val="00036075"/>
    <w:rsid w:val="00041686"/>
    <w:rsid w:val="00043960"/>
    <w:rsid w:val="00046DF9"/>
    <w:rsid w:val="00051E67"/>
    <w:rsid w:val="00061099"/>
    <w:rsid w:val="00064157"/>
    <w:rsid w:val="00066AEE"/>
    <w:rsid w:val="000673DA"/>
    <w:rsid w:val="0007272B"/>
    <w:rsid w:val="000770A8"/>
    <w:rsid w:val="000A7AD2"/>
    <w:rsid w:val="000B14C1"/>
    <w:rsid w:val="000C30EA"/>
    <w:rsid w:val="000C6498"/>
    <w:rsid w:val="000D5F91"/>
    <w:rsid w:val="000D6831"/>
    <w:rsid w:val="000E181A"/>
    <w:rsid w:val="000E30BE"/>
    <w:rsid w:val="000F5146"/>
    <w:rsid w:val="000F51CC"/>
    <w:rsid w:val="00101CF7"/>
    <w:rsid w:val="0011644A"/>
    <w:rsid w:val="001222CD"/>
    <w:rsid w:val="0012232B"/>
    <w:rsid w:val="0012464E"/>
    <w:rsid w:val="00124BAA"/>
    <w:rsid w:val="001272EB"/>
    <w:rsid w:val="001413EB"/>
    <w:rsid w:val="00144765"/>
    <w:rsid w:val="0014635E"/>
    <w:rsid w:val="0014699D"/>
    <w:rsid w:val="0015285A"/>
    <w:rsid w:val="00154F78"/>
    <w:rsid w:val="001558D0"/>
    <w:rsid w:val="00155AB7"/>
    <w:rsid w:val="001679D9"/>
    <w:rsid w:val="00175F83"/>
    <w:rsid w:val="001842B0"/>
    <w:rsid w:val="001863A0"/>
    <w:rsid w:val="00192B85"/>
    <w:rsid w:val="00195580"/>
    <w:rsid w:val="00195B57"/>
    <w:rsid w:val="00196220"/>
    <w:rsid w:val="00197607"/>
    <w:rsid w:val="001A3347"/>
    <w:rsid w:val="001A5D78"/>
    <w:rsid w:val="001B71DA"/>
    <w:rsid w:val="001C7C91"/>
    <w:rsid w:val="001D35C8"/>
    <w:rsid w:val="001D6826"/>
    <w:rsid w:val="001D70AC"/>
    <w:rsid w:val="001D74A3"/>
    <w:rsid w:val="001E31FB"/>
    <w:rsid w:val="001F3B00"/>
    <w:rsid w:val="001F6015"/>
    <w:rsid w:val="00200B28"/>
    <w:rsid w:val="00207744"/>
    <w:rsid w:val="002103F8"/>
    <w:rsid w:val="0022494F"/>
    <w:rsid w:val="00227EE9"/>
    <w:rsid w:val="00232B60"/>
    <w:rsid w:val="00233E8D"/>
    <w:rsid w:val="00235CD1"/>
    <w:rsid w:val="00235D62"/>
    <w:rsid w:val="002457AF"/>
    <w:rsid w:val="00252B3D"/>
    <w:rsid w:val="00256FE1"/>
    <w:rsid w:val="00262535"/>
    <w:rsid w:val="002654DF"/>
    <w:rsid w:val="00265814"/>
    <w:rsid w:val="002660C1"/>
    <w:rsid w:val="002669F8"/>
    <w:rsid w:val="002703DE"/>
    <w:rsid w:val="002727CA"/>
    <w:rsid w:val="002777A6"/>
    <w:rsid w:val="002835E8"/>
    <w:rsid w:val="00285390"/>
    <w:rsid w:val="002942D5"/>
    <w:rsid w:val="002A65C0"/>
    <w:rsid w:val="002A766E"/>
    <w:rsid w:val="002B40A7"/>
    <w:rsid w:val="002C2367"/>
    <w:rsid w:val="002C3A1D"/>
    <w:rsid w:val="002D27A9"/>
    <w:rsid w:val="002D626F"/>
    <w:rsid w:val="002D719B"/>
    <w:rsid w:val="002E4391"/>
    <w:rsid w:val="002E6B75"/>
    <w:rsid w:val="002F181B"/>
    <w:rsid w:val="002F24E0"/>
    <w:rsid w:val="002F530F"/>
    <w:rsid w:val="00304C71"/>
    <w:rsid w:val="0030623C"/>
    <w:rsid w:val="00307BFC"/>
    <w:rsid w:val="00311F74"/>
    <w:rsid w:val="003252E3"/>
    <w:rsid w:val="00332B2F"/>
    <w:rsid w:val="0033539E"/>
    <w:rsid w:val="003458E2"/>
    <w:rsid w:val="0035439B"/>
    <w:rsid w:val="0035734A"/>
    <w:rsid w:val="0037146E"/>
    <w:rsid w:val="00372DE6"/>
    <w:rsid w:val="00373EC0"/>
    <w:rsid w:val="00382AC5"/>
    <w:rsid w:val="00385B3F"/>
    <w:rsid w:val="00386C43"/>
    <w:rsid w:val="00392A4D"/>
    <w:rsid w:val="00395B50"/>
    <w:rsid w:val="003A0063"/>
    <w:rsid w:val="003A0D87"/>
    <w:rsid w:val="003A3D34"/>
    <w:rsid w:val="003B4116"/>
    <w:rsid w:val="003C4935"/>
    <w:rsid w:val="003C7C9D"/>
    <w:rsid w:val="003D0C47"/>
    <w:rsid w:val="003D0DC6"/>
    <w:rsid w:val="003D0E51"/>
    <w:rsid w:val="003D3907"/>
    <w:rsid w:val="003D4213"/>
    <w:rsid w:val="003D65FF"/>
    <w:rsid w:val="003D795A"/>
    <w:rsid w:val="003E0798"/>
    <w:rsid w:val="003E2E42"/>
    <w:rsid w:val="003E403B"/>
    <w:rsid w:val="003E59AF"/>
    <w:rsid w:val="003E60D9"/>
    <w:rsid w:val="003F3A92"/>
    <w:rsid w:val="003F43AF"/>
    <w:rsid w:val="003F4997"/>
    <w:rsid w:val="003F576A"/>
    <w:rsid w:val="00401D7B"/>
    <w:rsid w:val="00402E8B"/>
    <w:rsid w:val="00404097"/>
    <w:rsid w:val="0040452B"/>
    <w:rsid w:val="0040490B"/>
    <w:rsid w:val="00410473"/>
    <w:rsid w:val="004217A1"/>
    <w:rsid w:val="00433FEF"/>
    <w:rsid w:val="00435FB3"/>
    <w:rsid w:val="00441F54"/>
    <w:rsid w:val="004430B3"/>
    <w:rsid w:val="00444F2D"/>
    <w:rsid w:val="00445CA3"/>
    <w:rsid w:val="004505EC"/>
    <w:rsid w:val="0045399D"/>
    <w:rsid w:val="0045445B"/>
    <w:rsid w:val="004625DC"/>
    <w:rsid w:val="004643DD"/>
    <w:rsid w:val="00465338"/>
    <w:rsid w:val="00470530"/>
    <w:rsid w:val="0047680B"/>
    <w:rsid w:val="00480702"/>
    <w:rsid w:val="004865A4"/>
    <w:rsid w:val="004945BC"/>
    <w:rsid w:val="00497441"/>
    <w:rsid w:val="004B4A86"/>
    <w:rsid w:val="004C1823"/>
    <w:rsid w:val="004C6BA3"/>
    <w:rsid w:val="004C7D21"/>
    <w:rsid w:val="004C7E4A"/>
    <w:rsid w:val="004E1BB3"/>
    <w:rsid w:val="004E2F7F"/>
    <w:rsid w:val="004E315D"/>
    <w:rsid w:val="004E7085"/>
    <w:rsid w:val="004F3AB1"/>
    <w:rsid w:val="00505A7D"/>
    <w:rsid w:val="005063A2"/>
    <w:rsid w:val="00506845"/>
    <w:rsid w:val="005073E9"/>
    <w:rsid w:val="00510090"/>
    <w:rsid w:val="00513E2D"/>
    <w:rsid w:val="00531902"/>
    <w:rsid w:val="005339CA"/>
    <w:rsid w:val="005346CF"/>
    <w:rsid w:val="00537916"/>
    <w:rsid w:val="00540340"/>
    <w:rsid w:val="0054153D"/>
    <w:rsid w:val="00556A46"/>
    <w:rsid w:val="0056197B"/>
    <w:rsid w:val="00571D67"/>
    <w:rsid w:val="00573A49"/>
    <w:rsid w:val="005811E6"/>
    <w:rsid w:val="00584AAC"/>
    <w:rsid w:val="0058572E"/>
    <w:rsid w:val="005922C4"/>
    <w:rsid w:val="005936A4"/>
    <w:rsid w:val="005B5D59"/>
    <w:rsid w:val="005B6BD6"/>
    <w:rsid w:val="005D4F51"/>
    <w:rsid w:val="005D64EF"/>
    <w:rsid w:val="005E0545"/>
    <w:rsid w:val="005E0551"/>
    <w:rsid w:val="005E1D4A"/>
    <w:rsid w:val="005E2482"/>
    <w:rsid w:val="005F215E"/>
    <w:rsid w:val="005F793E"/>
    <w:rsid w:val="00605272"/>
    <w:rsid w:val="00607B28"/>
    <w:rsid w:val="00607CE1"/>
    <w:rsid w:val="00611B88"/>
    <w:rsid w:val="00612293"/>
    <w:rsid w:val="0061331B"/>
    <w:rsid w:val="00615C5E"/>
    <w:rsid w:val="00621691"/>
    <w:rsid w:val="00626F15"/>
    <w:rsid w:val="00632701"/>
    <w:rsid w:val="00634F7E"/>
    <w:rsid w:val="0063708B"/>
    <w:rsid w:val="006414C7"/>
    <w:rsid w:val="006557EB"/>
    <w:rsid w:val="00665ADB"/>
    <w:rsid w:val="00665CA9"/>
    <w:rsid w:val="006662D8"/>
    <w:rsid w:val="0067443E"/>
    <w:rsid w:val="006761B1"/>
    <w:rsid w:val="0068108C"/>
    <w:rsid w:val="00681191"/>
    <w:rsid w:val="00684C24"/>
    <w:rsid w:val="00692394"/>
    <w:rsid w:val="00693887"/>
    <w:rsid w:val="006A1150"/>
    <w:rsid w:val="006A1B79"/>
    <w:rsid w:val="006A3F6D"/>
    <w:rsid w:val="006B1511"/>
    <w:rsid w:val="006B4D6C"/>
    <w:rsid w:val="006B558B"/>
    <w:rsid w:val="006C358E"/>
    <w:rsid w:val="006C3BC5"/>
    <w:rsid w:val="006C3FBF"/>
    <w:rsid w:val="006D018B"/>
    <w:rsid w:val="006D4B57"/>
    <w:rsid w:val="006E2D58"/>
    <w:rsid w:val="006E3B39"/>
    <w:rsid w:val="006F2552"/>
    <w:rsid w:val="006F41BC"/>
    <w:rsid w:val="00702C0F"/>
    <w:rsid w:val="00715776"/>
    <w:rsid w:val="007205A3"/>
    <w:rsid w:val="00720E78"/>
    <w:rsid w:val="00724DF3"/>
    <w:rsid w:val="007260F9"/>
    <w:rsid w:val="00731387"/>
    <w:rsid w:val="00731C9E"/>
    <w:rsid w:val="0073733D"/>
    <w:rsid w:val="0074573F"/>
    <w:rsid w:val="007458DA"/>
    <w:rsid w:val="00752C4D"/>
    <w:rsid w:val="00753191"/>
    <w:rsid w:val="0075384D"/>
    <w:rsid w:val="00756FAD"/>
    <w:rsid w:val="007571AD"/>
    <w:rsid w:val="00773C70"/>
    <w:rsid w:val="007757B6"/>
    <w:rsid w:val="00777669"/>
    <w:rsid w:val="00787204"/>
    <w:rsid w:val="00787282"/>
    <w:rsid w:val="007916B3"/>
    <w:rsid w:val="00793EF1"/>
    <w:rsid w:val="007A12FF"/>
    <w:rsid w:val="007A48BC"/>
    <w:rsid w:val="007A5837"/>
    <w:rsid w:val="007B2F6A"/>
    <w:rsid w:val="007C14D1"/>
    <w:rsid w:val="007C161D"/>
    <w:rsid w:val="007C3654"/>
    <w:rsid w:val="007C4857"/>
    <w:rsid w:val="007C4FB6"/>
    <w:rsid w:val="007C5FC0"/>
    <w:rsid w:val="007D6E66"/>
    <w:rsid w:val="007D79BB"/>
    <w:rsid w:val="007D7B9D"/>
    <w:rsid w:val="007E151C"/>
    <w:rsid w:val="007E34BA"/>
    <w:rsid w:val="007F1456"/>
    <w:rsid w:val="0080111A"/>
    <w:rsid w:val="008056BE"/>
    <w:rsid w:val="008068EE"/>
    <w:rsid w:val="00807FF1"/>
    <w:rsid w:val="00814B30"/>
    <w:rsid w:val="008226D4"/>
    <w:rsid w:val="008245A0"/>
    <w:rsid w:val="00824D7B"/>
    <w:rsid w:val="00825AD1"/>
    <w:rsid w:val="008301FD"/>
    <w:rsid w:val="008321F9"/>
    <w:rsid w:val="00832F94"/>
    <w:rsid w:val="00835049"/>
    <w:rsid w:val="008356AF"/>
    <w:rsid w:val="00836520"/>
    <w:rsid w:val="00841D79"/>
    <w:rsid w:val="008521A6"/>
    <w:rsid w:val="00853CE9"/>
    <w:rsid w:val="00854951"/>
    <w:rsid w:val="00862A68"/>
    <w:rsid w:val="00864AEE"/>
    <w:rsid w:val="00866BC5"/>
    <w:rsid w:val="00867347"/>
    <w:rsid w:val="008717D0"/>
    <w:rsid w:val="0087682E"/>
    <w:rsid w:val="00880CFF"/>
    <w:rsid w:val="00883426"/>
    <w:rsid w:val="0088592B"/>
    <w:rsid w:val="0088734E"/>
    <w:rsid w:val="0089082E"/>
    <w:rsid w:val="00890D76"/>
    <w:rsid w:val="00891FAA"/>
    <w:rsid w:val="00893486"/>
    <w:rsid w:val="008A089B"/>
    <w:rsid w:val="008A5AB9"/>
    <w:rsid w:val="008A5CA1"/>
    <w:rsid w:val="008A7705"/>
    <w:rsid w:val="008B5E21"/>
    <w:rsid w:val="008C16F1"/>
    <w:rsid w:val="008D249A"/>
    <w:rsid w:val="008D27F5"/>
    <w:rsid w:val="008D6B2A"/>
    <w:rsid w:val="008D6FAF"/>
    <w:rsid w:val="008E0269"/>
    <w:rsid w:val="008E167C"/>
    <w:rsid w:val="008E2A50"/>
    <w:rsid w:val="008E7603"/>
    <w:rsid w:val="008F2944"/>
    <w:rsid w:val="008F6C43"/>
    <w:rsid w:val="00904207"/>
    <w:rsid w:val="00904381"/>
    <w:rsid w:val="0091188C"/>
    <w:rsid w:val="00927ED0"/>
    <w:rsid w:val="00930FB5"/>
    <w:rsid w:val="00941334"/>
    <w:rsid w:val="00950D2A"/>
    <w:rsid w:val="009520A0"/>
    <w:rsid w:val="00952B59"/>
    <w:rsid w:val="00953F45"/>
    <w:rsid w:val="00980F55"/>
    <w:rsid w:val="0098345D"/>
    <w:rsid w:val="00991DF7"/>
    <w:rsid w:val="009A0E9B"/>
    <w:rsid w:val="009A4330"/>
    <w:rsid w:val="009A4FC9"/>
    <w:rsid w:val="009A51F8"/>
    <w:rsid w:val="009B54E6"/>
    <w:rsid w:val="009B6913"/>
    <w:rsid w:val="009B7644"/>
    <w:rsid w:val="009B7B45"/>
    <w:rsid w:val="009C0F71"/>
    <w:rsid w:val="009C145B"/>
    <w:rsid w:val="009C43B4"/>
    <w:rsid w:val="009C6A29"/>
    <w:rsid w:val="009D0AA5"/>
    <w:rsid w:val="009D0F3C"/>
    <w:rsid w:val="009D0F9B"/>
    <w:rsid w:val="009D21EB"/>
    <w:rsid w:val="009D2387"/>
    <w:rsid w:val="009D4D0D"/>
    <w:rsid w:val="009E1C45"/>
    <w:rsid w:val="009E2505"/>
    <w:rsid w:val="009E34F2"/>
    <w:rsid w:val="009E5514"/>
    <w:rsid w:val="009F0D1E"/>
    <w:rsid w:val="009F6360"/>
    <w:rsid w:val="00A0788E"/>
    <w:rsid w:val="00A11BA3"/>
    <w:rsid w:val="00A14726"/>
    <w:rsid w:val="00A25607"/>
    <w:rsid w:val="00A26235"/>
    <w:rsid w:val="00A27F42"/>
    <w:rsid w:val="00A30081"/>
    <w:rsid w:val="00A31986"/>
    <w:rsid w:val="00A3221C"/>
    <w:rsid w:val="00A34CD9"/>
    <w:rsid w:val="00A41216"/>
    <w:rsid w:val="00A52A83"/>
    <w:rsid w:val="00A54E08"/>
    <w:rsid w:val="00A555C8"/>
    <w:rsid w:val="00A55EB8"/>
    <w:rsid w:val="00A566F5"/>
    <w:rsid w:val="00A57187"/>
    <w:rsid w:val="00A6398F"/>
    <w:rsid w:val="00A6415F"/>
    <w:rsid w:val="00A644CA"/>
    <w:rsid w:val="00A835A4"/>
    <w:rsid w:val="00A87911"/>
    <w:rsid w:val="00A9042D"/>
    <w:rsid w:val="00A96606"/>
    <w:rsid w:val="00AA6FF7"/>
    <w:rsid w:val="00AA7E24"/>
    <w:rsid w:val="00AB2DE2"/>
    <w:rsid w:val="00AC0167"/>
    <w:rsid w:val="00AC0B40"/>
    <w:rsid w:val="00AC742E"/>
    <w:rsid w:val="00AD1645"/>
    <w:rsid w:val="00AD28F1"/>
    <w:rsid w:val="00AE37E4"/>
    <w:rsid w:val="00AE4E01"/>
    <w:rsid w:val="00AE6107"/>
    <w:rsid w:val="00AF1F84"/>
    <w:rsid w:val="00AF4360"/>
    <w:rsid w:val="00B03572"/>
    <w:rsid w:val="00B038DE"/>
    <w:rsid w:val="00B043E5"/>
    <w:rsid w:val="00B0486F"/>
    <w:rsid w:val="00B06F27"/>
    <w:rsid w:val="00B07770"/>
    <w:rsid w:val="00B14123"/>
    <w:rsid w:val="00B17E5D"/>
    <w:rsid w:val="00B2018F"/>
    <w:rsid w:val="00B210A7"/>
    <w:rsid w:val="00B249E4"/>
    <w:rsid w:val="00B260FE"/>
    <w:rsid w:val="00B26B69"/>
    <w:rsid w:val="00B338AC"/>
    <w:rsid w:val="00B368ED"/>
    <w:rsid w:val="00B40CC6"/>
    <w:rsid w:val="00B466E2"/>
    <w:rsid w:val="00B50A0D"/>
    <w:rsid w:val="00B534D7"/>
    <w:rsid w:val="00B55377"/>
    <w:rsid w:val="00B55C07"/>
    <w:rsid w:val="00B56B19"/>
    <w:rsid w:val="00B57C93"/>
    <w:rsid w:val="00B57D84"/>
    <w:rsid w:val="00B7174E"/>
    <w:rsid w:val="00B72921"/>
    <w:rsid w:val="00B74986"/>
    <w:rsid w:val="00B908F4"/>
    <w:rsid w:val="00B9686A"/>
    <w:rsid w:val="00BA20A5"/>
    <w:rsid w:val="00BB51F7"/>
    <w:rsid w:val="00BC7DED"/>
    <w:rsid w:val="00BD046E"/>
    <w:rsid w:val="00BD32F7"/>
    <w:rsid w:val="00BD7CBF"/>
    <w:rsid w:val="00BE76AC"/>
    <w:rsid w:val="00BF4617"/>
    <w:rsid w:val="00BF4EF7"/>
    <w:rsid w:val="00C00E35"/>
    <w:rsid w:val="00C0200E"/>
    <w:rsid w:val="00C06670"/>
    <w:rsid w:val="00C1148C"/>
    <w:rsid w:val="00C131D4"/>
    <w:rsid w:val="00C1418A"/>
    <w:rsid w:val="00C210D2"/>
    <w:rsid w:val="00C22544"/>
    <w:rsid w:val="00C4188A"/>
    <w:rsid w:val="00C51F13"/>
    <w:rsid w:val="00C65640"/>
    <w:rsid w:val="00C676D0"/>
    <w:rsid w:val="00C707D0"/>
    <w:rsid w:val="00C75355"/>
    <w:rsid w:val="00C7698A"/>
    <w:rsid w:val="00C76FEC"/>
    <w:rsid w:val="00C80B3D"/>
    <w:rsid w:val="00C81CEA"/>
    <w:rsid w:val="00C83631"/>
    <w:rsid w:val="00C83FA2"/>
    <w:rsid w:val="00C87090"/>
    <w:rsid w:val="00C9336E"/>
    <w:rsid w:val="00C96352"/>
    <w:rsid w:val="00CB0086"/>
    <w:rsid w:val="00CB57E6"/>
    <w:rsid w:val="00CB7B8E"/>
    <w:rsid w:val="00CC18F4"/>
    <w:rsid w:val="00CC3C53"/>
    <w:rsid w:val="00CE79EB"/>
    <w:rsid w:val="00CF2E77"/>
    <w:rsid w:val="00CF39EA"/>
    <w:rsid w:val="00CF65E5"/>
    <w:rsid w:val="00D01970"/>
    <w:rsid w:val="00D01ED0"/>
    <w:rsid w:val="00D06543"/>
    <w:rsid w:val="00D12A09"/>
    <w:rsid w:val="00D1369F"/>
    <w:rsid w:val="00D14135"/>
    <w:rsid w:val="00D14235"/>
    <w:rsid w:val="00D24DF1"/>
    <w:rsid w:val="00D32E50"/>
    <w:rsid w:val="00D36471"/>
    <w:rsid w:val="00D47F71"/>
    <w:rsid w:val="00D51A15"/>
    <w:rsid w:val="00D52AF4"/>
    <w:rsid w:val="00D60C72"/>
    <w:rsid w:val="00D60D04"/>
    <w:rsid w:val="00D61547"/>
    <w:rsid w:val="00D62667"/>
    <w:rsid w:val="00D64640"/>
    <w:rsid w:val="00D76588"/>
    <w:rsid w:val="00D80E33"/>
    <w:rsid w:val="00D86B74"/>
    <w:rsid w:val="00DA0951"/>
    <w:rsid w:val="00DA2BB9"/>
    <w:rsid w:val="00DA49A5"/>
    <w:rsid w:val="00DB2DC9"/>
    <w:rsid w:val="00DB3B7E"/>
    <w:rsid w:val="00DB549D"/>
    <w:rsid w:val="00DC312E"/>
    <w:rsid w:val="00DD51EE"/>
    <w:rsid w:val="00DD7BDE"/>
    <w:rsid w:val="00DE007C"/>
    <w:rsid w:val="00DE30FC"/>
    <w:rsid w:val="00DE5460"/>
    <w:rsid w:val="00DF59C5"/>
    <w:rsid w:val="00DF6E91"/>
    <w:rsid w:val="00DF726E"/>
    <w:rsid w:val="00E05056"/>
    <w:rsid w:val="00E06D21"/>
    <w:rsid w:val="00E13765"/>
    <w:rsid w:val="00E13988"/>
    <w:rsid w:val="00E143E4"/>
    <w:rsid w:val="00E15D25"/>
    <w:rsid w:val="00E203A2"/>
    <w:rsid w:val="00E30A3F"/>
    <w:rsid w:val="00E330C3"/>
    <w:rsid w:val="00E34383"/>
    <w:rsid w:val="00E37AC2"/>
    <w:rsid w:val="00E43C98"/>
    <w:rsid w:val="00E45AC4"/>
    <w:rsid w:val="00E469E0"/>
    <w:rsid w:val="00E84A86"/>
    <w:rsid w:val="00E96068"/>
    <w:rsid w:val="00EA2ACA"/>
    <w:rsid w:val="00EA4233"/>
    <w:rsid w:val="00EA52EE"/>
    <w:rsid w:val="00EA7B66"/>
    <w:rsid w:val="00EB4082"/>
    <w:rsid w:val="00EC032E"/>
    <w:rsid w:val="00EC3752"/>
    <w:rsid w:val="00EC534C"/>
    <w:rsid w:val="00EC64E2"/>
    <w:rsid w:val="00EC754E"/>
    <w:rsid w:val="00EC75F6"/>
    <w:rsid w:val="00ED3BB9"/>
    <w:rsid w:val="00ED6CDE"/>
    <w:rsid w:val="00EE5570"/>
    <w:rsid w:val="00EF1247"/>
    <w:rsid w:val="00EF129C"/>
    <w:rsid w:val="00EF4389"/>
    <w:rsid w:val="00EF537F"/>
    <w:rsid w:val="00EF708D"/>
    <w:rsid w:val="00F05A0F"/>
    <w:rsid w:val="00F07B8D"/>
    <w:rsid w:val="00F2283A"/>
    <w:rsid w:val="00F23D4B"/>
    <w:rsid w:val="00F2763F"/>
    <w:rsid w:val="00F30C84"/>
    <w:rsid w:val="00F37163"/>
    <w:rsid w:val="00F503F2"/>
    <w:rsid w:val="00F50AF1"/>
    <w:rsid w:val="00F54C66"/>
    <w:rsid w:val="00F571FB"/>
    <w:rsid w:val="00F6086A"/>
    <w:rsid w:val="00F706D3"/>
    <w:rsid w:val="00F72855"/>
    <w:rsid w:val="00F73C08"/>
    <w:rsid w:val="00F859B1"/>
    <w:rsid w:val="00F87433"/>
    <w:rsid w:val="00F967E9"/>
    <w:rsid w:val="00F96DB9"/>
    <w:rsid w:val="00FA0809"/>
    <w:rsid w:val="00FA0BDD"/>
    <w:rsid w:val="00FA2D3A"/>
    <w:rsid w:val="00FA5C59"/>
    <w:rsid w:val="00FA7B78"/>
    <w:rsid w:val="00FB45A5"/>
    <w:rsid w:val="00FC03B2"/>
    <w:rsid w:val="00FD118A"/>
    <w:rsid w:val="00FD586E"/>
    <w:rsid w:val="00FE3A4B"/>
    <w:rsid w:val="00FF2141"/>
    <w:rsid w:val="00FF78D0"/>
    <w:rsid w:val="15C842BF"/>
    <w:rsid w:val="18E916FE"/>
    <w:rsid w:val="489E69F7"/>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character" w:default="1" w:styleId="20">
    <w:name w:val="Default Paragraph Font"/>
    <w:unhideWhenUsed/>
    <w:uiPriority w:val="1"/>
  </w:style>
  <w:style w:type="table" w:default="1" w:styleId="24">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59"/>
    <w:unhideWhenUsed/>
    <w:qFormat/>
    <w:uiPriority w:val="99"/>
    <w:rPr>
      <w:b/>
      <w:bCs/>
    </w:rPr>
  </w:style>
  <w:style w:type="paragraph" w:styleId="4">
    <w:name w:val="annotation text"/>
    <w:basedOn w:val="1"/>
    <w:link w:val="58"/>
    <w:unhideWhenUsed/>
    <w:qFormat/>
    <w:uiPriority w:val="99"/>
    <w:pPr>
      <w:jc w:val="left"/>
    </w:pPr>
  </w:style>
  <w:style w:type="paragraph" w:styleId="5">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6">
    <w:name w:val="Document Map"/>
    <w:basedOn w:val="1"/>
    <w:link w:val="60"/>
    <w:unhideWhenUsed/>
    <w:qFormat/>
    <w:uiPriority w:val="99"/>
    <w:rPr>
      <w:rFonts w:ascii="宋体"/>
      <w:sz w:val="18"/>
      <w:szCs w:val="18"/>
    </w:rPr>
  </w:style>
  <w:style w:type="paragraph" w:styleId="7">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10">
    <w:name w:val="Date"/>
    <w:basedOn w:val="1"/>
    <w:next w:val="1"/>
    <w:link w:val="53"/>
    <w:qFormat/>
    <w:uiPriority w:val="0"/>
    <w:rPr>
      <w:rFonts w:ascii="Arial" w:hAnsi="Arial"/>
      <w:sz w:val="24"/>
      <w:szCs w:val="20"/>
    </w:rPr>
  </w:style>
  <w:style w:type="paragraph" w:styleId="11">
    <w:name w:val="Balloon Text"/>
    <w:basedOn w:val="1"/>
    <w:link w:val="55"/>
    <w:unhideWhenUsed/>
    <w:qFormat/>
    <w:uiPriority w:val="99"/>
    <w:rPr>
      <w:sz w:val="18"/>
      <w:szCs w:val="18"/>
    </w:rPr>
  </w:style>
  <w:style w:type="paragraph" w:styleId="12">
    <w:name w:val="footer"/>
    <w:basedOn w:val="1"/>
    <w:link w:val="57"/>
    <w:unhideWhenUsed/>
    <w:qFormat/>
    <w:uiPriority w:val="99"/>
    <w:pPr>
      <w:tabs>
        <w:tab w:val="center" w:pos="4320"/>
        <w:tab w:val="right" w:pos="8640"/>
      </w:tabs>
      <w:snapToGrid w:val="0"/>
      <w:jc w:val="left"/>
    </w:pPr>
    <w:rPr>
      <w:sz w:val="18"/>
      <w:szCs w:val="18"/>
    </w:rPr>
  </w:style>
  <w:style w:type="paragraph" w:styleId="13">
    <w:name w:val="header"/>
    <w:basedOn w:val="1"/>
    <w:link w:val="56"/>
    <w:unhideWhenUsed/>
    <w:qFormat/>
    <w:uiPriority w:val="99"/>
    <w:pPr>
      <w:pBdr>
        <w:bottom w:val="single" w:color="auto" w:sz="6" w:space="1"/>
      </w:pBdr>
      <w:tabs>
        <w:tab w:val="center" w:pos="4320"/>
        <w:tab w:val="right" w:pos="8640"/>
      </w:tabs>
      <w:snapToGrid w:val="0"/>
      <w:jc w:val="center"/>
    </w:pPr>
    <w:rPr>
      <w:sz w:val="18"/>
      <w:szCs w:val="18"/>
    </w:rPr>
  </w:style>
  <w:style w:type="paragraph" w:styleId="14">
    <w:name w:val="toc 1"/>
    <w:basedOn w:val="1"/>
    <w:next w:val="1"/>
    <w:qFormat/>
    <w:uiPriority w:val="39"/>
    <w:pPr>
      <w:tabs>
        <w:tab w:val="right" w:leader="dot" w:pos="9241"/>
      </w:tabs>
      <w:spacing w:beforeLines="25" w:afterLines="25"/>
      <w:jc w:val="left"/>
    </w:pPr>
    <w:rPr>
      <w:rFonts w:ascii="宋体"/>
      <w:szCs w:val="21"/>
    </w:rPr>
  </w:style>
  <w:style w:type="paragraph" w:styleId="15">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16">
    <w:name w:val="Subtitle"/>
    <w:basedOn w:val="1"/>
    <w:next w:val="1"/>
    <w:link w:val="63"/>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7">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9">
    <w:name w:val="toc 9"/>
    <w:basedOn w:val="1"/>
    <w:next w:val="1"/>
    <w:unhideWhenUsed/>
    <w:qFormat/>
    <w:uiPriority w:val="39"/>
    <w:pPr>
      <w:ind w:left="3360" w:leftChars="1600"/>
    </w:pPr>
    <w:rPr>
      <w:rFonts w:asciiTheme="minorHAnsi" w:hAnsiTheme="minorHAnsi" w:eastAsiaTheme="minorEastAsia" w:cstheme="minorBidi"/>
      <w:szCs w:val="22"/>
    </w:rPr>
  </w:style>
  <w:style w:type="character" w:styleId="21">
    <w:name w:val="FollowedHyperlink"/>
    <w:basedOn w:val="20"/>
    <w:unhideWhenUsed/>
    <w:qFormat/>
    <w:uiPriority w:val="99"/>
    <w:rPr>
      <w:color w:val="954F72" w:themeColor="followedHyperlink"/>
      <w:u w:val="single"/>
      <w14:textFill>
        <w14:solidFill>
          <w14:schemeClr w14:val="folHlink"/>
        </w14:solidFill>
      </w14:textFill>
    </w:rPr>
  </w:style>
  <w:style w:type="character" w:styleId="22">
    <w:name w:val="Hyperlink"/>
    <w:basedOn w:val="20"/>
    <w:qFormat/>
    <w:uiPriority w:val="99"/>
    <w:rPr>
      <w:color w:val="0000FF"/>
      <w:spacing w:val="0"/>
      <w:w w:val="100"/>
      <w:szCs w:val="21"/>
      <w:u w:val="single"/>
    </w:rPr>
  </w:style>
  <w:style w:type="character" w:styleId="23">
    <w:name w:val="annotation reference"/>
    <w:basedOn w:val="20"/>
    <w:unhideWhenUsed/>
    <w:qFormat/>
    <w:uiPriority w:val="99"/>
    <w:rPr>
      <w:sz w:val="21"/>
      <w:szCs w:val="21"/>
    </w:r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6">
    <w:name w:val="标题 1 Char"/>
    <w:basedOn w:val="20"/>
    <w:link w:val="2"/>
    <w:qFormat/>
    <w:uiPriority w:val="9"/>
    <w:rPr>
      <w:rFonts w:ascii="Times New Roman" w:hAnsi="Times New Roman" w:eastAsia="宋体" w:cs="Times New Roman"/>
      <w:b/>
      <w:bCs/>
      <w:kern w:val="44"/>
      <w:sz w:val="44"/>
      <w:szCs w:val="44"/>
    </w:rPr>
  </w:style>
  <w:style w:type="paragraph" w:customStyle="1" w:styleId="27">
    <w:name w:val="段"/>
    <w:link w:val="5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一级条标题"/>
    <w:next w:val="27"/>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9">
    <w:name w:val="前言、引言标题"/>
    <w:next w:val="2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0">
    <w:name w:val="章标题"/>
    <w:next w:val="27"/>
    <w:link w:val="52"/>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1">
    <w:name w:val="附录章标题"/>
    <w:next w:val="27"/>
    <w:qFormat/>
    <w:uiPriority w:val="0"/>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32">
    <w:name w:val="目次、标准名称标题"/>
    <w:basedOn w:val="1"/>
    <w:next w:val="2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3">
    <w:name w:val="附录三级条标题"/>
    <w:basedOn w:val="34"/>
    <w:next w:val="27"/>
    <w:qFormat/>
    <w:uiPriority w:val="0"/>
    <w:pPr>
      <w:numPr>
        <w:ilvl w:val="4"/>
      </w:numPr>
      <w:tabs>
        <w:tab w:val="left" w:pos="360"/>
      </w:tabs>
      <w:outlineLvl w:val="4"/>
    </w:pPr>
  </w:style>
  <w:style w:type="paragraph" w:customStyle="1" w:styleId="34">
    <w:name w:val="附录二级条标题"/>
    <w:basedOn w:val="1"/>
    <w:next w:val="27"/>
    <w:qFormat/>
    <w:uiPriority w:val="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3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3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8">
    <w:name w:val="附录标识"/>
    <w:basedOn w:val="1"/>
    <w:next w:val="27"/>
    <w:qFormat/>
    <w:uiPriority w:val="0"/>
    <w:pPr>
      <w:keepNext/>
      <w:widowControl/>
      <w:numPr>
        <w:ilvl w:val="0"/>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3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1">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42">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43">
    <w:name w:val="标准书眉_偶数页"/>
    <w:basedOn w:val="40"/>
    <w:next w:val="1"/>
    <w:qFormat/>
    <w:uiPriority w:val="0"/>
    <w:pPr>
      <w:jc w:val="left"/>
    </w:pPr>
  </w:style>
  <w:style w:type="paragraph" w:customStyle="1" w:styleId="44">
    <w:name w:val="附录一级条标题"/>
    <w:basedOn w:val="31"/>
    <w:next w:val="27"/>
    <w:qFormat/>
    <w:uiPriority w:val="0"/>
    <w:pPr>
      <w:numPr>
        <w:ilvl w:val="2"/>
      </w:numPr>
      <w:autoSpaceDN w:val="0"/>
      <w:spacing w:beforeLines="50" w:afterLines="50"/>
      <w:outlineLvl w:val="2"/>
    </w:pPr>
  </w:style>
  <w:style w:type="paragraph" w:customStyle="1" w:styleId="4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46">
    <w:name w:val="一级无"/>
    <w:basedOn w:val="28"/>
    <w:qFormat/>
    <w:uiPriority w:val="0"/>
    <w:pPr>
      <w:spacing w:beforeLines="0" w:afterLines="0"/>
    </w:pPr>
    <w:rPr>
      <w:rFonts w:ascii="宋体" w:eastAsia="宋体"/>
    </w:rPr>
  </w:style>
  <w:style w:type="paragraph" w:customStyle="1" w:styleId="47">
    <w:name w:val="终结线"/>
    <w:basedOn w:val="1"/>
    <w:qFormat/>
    <w:uiPriority w:val="0"/>
    <w:pPr>
      <w:framePr w:hSpace="181" w:vSpace="181" w:wrap="around" w:vAnchor="text" w:hAnchor="margin" w:xAlign="center" w:y="285"/>
    </w:pPr>
  </w:style>
  <w:style w:type="paragraph" w:customStyle="1" w:styleId="48">
    <w:name w:val="其他发布日期"/>
    <w:basedOn w:val="1"/>
    <w:qFormat/>
    <w:uiPriority w:val="0"/>
    <w:pPr>
      <w:framePr w:w="3997" w:h="471" w:hRule="exact" w:vSpace="181" w:wrap="around" w:vAnchor="page" w:hAnchor="text" w:x="1419" w:y="14097" w:anchorLock="1"/>
      <w:widowControl/>
      <w:jc w:val="left"/>
    </w:pPr>
    <w:rPr>
      <w:rFonts w:eastAsia="黑体"/>
      <w:kern w:val="0"/>
      <w:sz w:val="28"/>
      <w:szCs w:val="20"/>
    </w:rPr>
  </w:style>
  <w:style w:type="paragraph" w:customStyle="1" w:styleId="49">
    <w:name w:val="其他实施日期"/>
    <w:basedOn w:val="1"/>
    <w:qFormat/>
    <w:uiPriority w:val="0"/>
    <w:pPr>
      <w:framePr w:w="3997" w:h="471" w:hRule="exact" w:vSpace="181" w:wrap="around" w:vAnchor="page" w:hAnchor="text" w:x="7089" w:y="14097" w:anchorLock="1"/>
      <w:widowControl/>
      <w:jc w:val="right"/>
    </w:pPr>
    <w:rPr>
      <w:rFonts w:eastAsia="黑体"/>
      <w:kern w:val="0"/>
      <w:sz w:val="28"/>
      <w:szCs w:val="20"/>
    </w:rPr>
  </w:style>
  <w:style w:type="character" w:customStyle="1" w:styleId="50">
    <w:name w:val="段 Char"/>
    <w:basedOn w:val="20"/>
    <w:link w:val="27"/>
    <w:qFormat/>
    <w:uiPriority w:val="0"/>
    <w:rPr>
      <w:rFonts w:ascii="宋体" w:hAnsi="Times New Roman" w:eastAsia="宋体" w:cs="Times New Roman"/>
      <w:kern w:val="0"/>
      <w:szCs w:val="20"/>
    </w:rPr>
  </w:style>
  <w:style w:type="character" w:customStyle="1" w:styleId="51">
    <w:name w:val="发布"/>
    <w:basedOn w:val="20"/>
    <w:qFormat/>
    <w:uiPriority w:val="0"/>
    <w:rPr>
      <w:rFonts w:ascii="黑体" w:eastAsia="黑体"/>
      <w:spacing w:val="85"/>
      <w:w w:val="100"/>
      <w:position w:val="3"/>
      <w:sz w:val="28"/>
      <w:szCs w:val="28"/>
    </w:rPr>
  </w:style>
  <w:style w:type="character" w:customStyle="1" w:styleId="52">
    <w:name w:val="章标题 Char"/>
    <w:basedOn w:val="20"/>
    <w:link w:val="30"/>
    <w:qFormat/>
    <w:locked/>
    <w:uiPriority w:val="0"/>
    <w:rPr>
      <w:rFonts w:ascii="黑体" w:hAnsi="Times New Roman" w:eastAsia="黑体" w:cs="Times New Roman"/>
      <w:kern w:val="0"/>
      <w:szCs w:val="20"/>
    </w:rPr>
  </w:style>
  <w:style w:type="character" w:customStyle="1" w:styleId="53">
    <w:name w:val="日期 Char"/>
    <w:basedOn w:val="20"/>
    <w:link w:val="10"/>
    <w:qFormat/>
    <w:uiPriority w:val="0"/>
    <w:rPr>
      <w:rFonts w:ascii="Arial" w:hAnsi="Arial" w:eastAsia="宋体" w:cs="Times New Roman"/>
      <w:sz w:val="24"/>
      <w:szCs w:val="20"/>
    </w:rPr>
  </w:style>
  <w:style w:type="paragraph" w:customStyle="1" w:styleId="5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55">
    <w:name w:val="批注框文本 Char"/>
    <w:basedOn w:val="20"/>
    <w:link w:val="11"/>
    <w:semiHidden/>
    <w:qFormat/>
    <w:uiPriority w:val="99"/>
    <w:rPr>
      <w:rFonts w:ascii="Times New Roman" w:hAnsi="Times New Roman" w:eastAsia="宋体" w:cs="Times New Roman"/>
      <w:sz w:val="18"/>
      <w:szCs w:val="18"/>
    </w:rPr>
  </w:style>
  <w:style w:type="character" w:customStyle="1" w:styleId="56">
    <w:name w:val="页眉 Char"/>
    <w:basedOn w:val="20"/>
    <w:link w:val="13"/>
    <w:qFormat/>
    <w:uiPriority w:val="99"/>
    <w:rPr>
      <w:rFonts w:ascii="Times New Roman" w:hAnsi="Times New Roman" w:eastAsia="宋体" w:cs="Times New Roman"/>
      <w:sz w:val="18"/>
      <w:szCs w:val="18"/>
    </w:rPr>
  </w:style>
  <w:style w:type="character" w:customStyle="1" w:styleId="57">
    <w:name w:val="页脚 Char"/>
    <w:basedOn w:val="20"/>
    <w:link w:val="12"/>
    <w:qFormat/>
    <w:uiPriority w:val="99"/>
    <w:rPr>
      <w:rFonts w:ascii="Times New Roman" w:hAnsi="Times New Roman" w:eastAsia="宋体" w:cs="Times New Roman"/>
      <w:sz w:val="18"/>
      <w:szCs w:val="18"/>
    </w:rPr>
  </w:style>
  <w:style w:type="character" w:customStyle="1" w:styleId="58">
    <w:name w:val="批注文字 Char"/>
    <w:basedOn w:val="20"/>
    <w:link w:val="4"/>
    <w:semiHidden/>
    <w:qFormat/>
    <w:uiPriority w:val="99"/>
    <w:rPr>
      <w:rFonts w:ascii="Times New Roman" w:hAnsi="Times New Roman" w:eastAsia="宋体" w:cs="Times New Roman"/>
      <w:szCs w:val="24"/>
    </w:rPr>
  </w:style>
  <w:style w:type="character" w:customStyle="1" w:styleId="59">
    <w:name w:val="批注主题 Char"/>
    <w:basedOn w:val="58"/>
    <w:link w:val="3"/>
    <w:semiHidden/>
    <w:qFormat/>
    <w:uiPriority w:val="99"/>
    <w:rPr>
      <w:rFonts w:ascii="Times New Roman" w:hAnsi="Times New Roman" w:eastAsia="宋体" w:cs="Times New Roman"/>
      <w:b/>
      <w:bCs/>
      <w:szCs w:val="24"/>
    </w:rPr>
  </w:style>
  <w:style w:type="character" w:customStyle="1" w:styleId="60">
    <w:name w:val="文档结构图 Char"/>
    <w:basedOn w:val="20"/>
    <w:link w:val="6"/>
    <w:semiHidden/>
    <w:qFormat/>
    <w:uiPriority w:val="99"/>
    <w:rPr>
      <w:rFonts w:ascii="宋体" w:hAnsi="Times New Roman" w:eastAsia="宋体" w:cs="Times New Roman"/>
      <w:sz w:val="18"/>
      <w:szCs w:val="18"/>
    </w:rPr>
  </w:style>
  <w:style w:type="paragraph" w:customStyle="1" w:styleId="61">
    <w:name w:val="List Paragraph"/>
    <w:basedOn w:val="1"/>
    <w:qFormat/>
    <w:uiPriority w:val="34"/>
    <w:pPr>
      <w:ind w:firstLine="420" w:firstLineChars="200"/>
    </w:pPr>
  </w:style>
  <w:style w:type="character" w:customStyle="1" w:styleId="62">
    <w:name w:val="author-p-144115210537694111"/>
    <w:basedOn w:val="20"/>
    <w:qFormat/>
    <w:uiPriority w:val="0"/>
  </w:style>
  <w:style w:type="character" w:customStyle="1" w:styleId="63">
    <w:name w:val="副标题 Char"/>
    <w:basedOn w:val="20"/>
    <w:link w:val="16"/>
    <w:qFormat/>
    <w:uiPriority w:val="11"/>
    <w:rPr>
      <w:b/>
      <w:bCs/>
      <w:kern w:val="28"/>
      <w:sz w:val="32"/>
      <w:szCs w:val="32"/>
    </w:rPr>
  </w:style>
  <w:style w:type="paragraph" w:customStyle="1" w:styleId="64">
    <w:name w:val="Revision"/>
    <w:hidden/>
    <w:semiHidden/>
    <w:uiPriority w:val="99"/>
    <w:rPr>
      <w:rFonts w:ascii="Times New Roman" w:hAnsi="Times New Roman" w:eastAsia="宋体" w:cs="Times New Roman"/>
      <w:kern w:val="2"/>
      <w:sz w:val="21"/>
      <w:szCs w:val="24"/>
      <w:lang w:val="en-US" w:eastAsia="zh-CN" w:bidi="ar-SA"/>
    </w:rPr>
  </w:style>
  <w:style w:type="table" w:customStyle="1" w:styleId="65">
    <w:name w:val="网格型1"/>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6B1D09-28EC-4109-A03E-F498DC1B6DC1}">
  <ds:schemaRefs/>
</ds:datastoreItem>
</file>

<file path=docProps/app.xml><?xml version="1.0" encoding="utf-8"?>
<Properties xmlns="http://schemas.openxmlformats.org/officeDocument/2006/extended-properties" xmlns:vt="http://schemas.openxmlformats.org/officeDocument/2006/docPropsVTypes">
  <Template>Normal.dotm</Template>
  <Pages>8</Pages>
  <Words>1093</Words>
  <Characters>6236</Characters>
  <Lines>51</Lines>
  <Paragraphs>14</Paragraphs>
  <ScaleCrop>false</ScaleCrop>
  <LinksUpToDate>false</LinksUpToDate>
  <CharactersWithSpaces>7315</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2020-05-05T12:05:00Z</dcterms:created>
  <dc:creator>李 飞</dc:creator>
  <cp:lastModifiedBy>19116</cp:lastModifiedBy>
  <cp:lastPrinted>2019-10-25T06:35:00Z</cp:lastPrinted>
  <dcterms:modified xsi:type="dcterms:W3CDTF">2020-08-05T04:09:48Z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