
<file path=[Content_Types].xml><?xml version="1.0" encoding="utf-8"?>
<Types xmlns="http://schemas.openxmlformats.org/package/2006/content-types">
  <Default Extension="xml" ContentType="application/xml"/>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pPr>
      <w:r>
        <w:rPr>
          <w:rFonts w:hint="eastAsia"/>
        </w:rPr>
        <w:drawing>
          <wp:anchor distT="0" distB="0" distL="114300" distR="114300" simplePos="0" relativeHeight="251659264" behindDoc="0" locked="0" layoutInCell="1" allowOverlap="1">
            <wp:simplePos x="0" y="0"/>
            <wp:positionH relativeFrom="column">
              <wp:posOffset>3054985</wp:posOffset>
            </wp:positionH>
            <wp:positionV relativeFrom="paragraph">
              <wp:posOffset>179705</wp:posOffset>
            </wp:positionV>
            <wp:extent cx="2456815" cy="528955"/>
            <wp:effectExtent l="0" t="0" r="635" b="4445"/>
            <wp:wrapSquare wrapText="bothSides"/>
            <wp:docPr id="13" name="图片 1"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说明: 未标题-1副本"/>
                    <pic:cNvPicPr>
                      <a:picLocks noChangeAspect="1"/>
                    </pic:cNvPicPr>
                  </pic:nvPicPr>
                  <pic:blipFill>
                    <a:blip r:embed="rId6"/>
                    <a:stretch>
                      <a:fillRect/>
                    </a:stretch>
                  </pic:blipFill>
                  <pic:spPr>
                    <a:xfrm>
                      <a:off x="0" y="0"/>
                      <a:ext cx="2456815" cy="528955"/>
                    </a:xfrm>
                    <a:prstGeom prst="rect">
                      <a:avLst/>
                    </a:prstGeom>
                    <a:noFill/>
                    <a:ln w="9525">
                      <a:noFill/>
                    </a:ln>
                  </pic:spPr>
                </pic:pic>
              </a:graphicData>
            </a:graphic>
          </wp:anchor>
        </w:drawing>
      </w:r>
    </w:p>
    <w:p>
      <w:pPr>
        <w:pStyle w:val="21"/>
      </w:pPr>
    </w:p>
    <w:p>
      <w:pPr>
        <w:pStyle w:val="21"/>
      </w:pPr>
    </w:p>
    <w:p>
      <w:pPr>
        <w:ind w:left="1041" w:hanging="1041" w:hangingChars="200"/>
        <w:jc w:val="center"/>
        <w:rPr>
          <w:rFonts w:ascii="华文中宋" w:hAnsi="华文中宋" w:eastAsia="华文中宋"/>
          <w:b/>
          <w:bCs/>
          <w:sz w:val="52"/>
          <w:szCs w:val="52"/>
        </w:rPr>
      </w:pPr>
      <w:r>
        <w:rPr>
          <w:rFonts w:hint="eastAsia" w:ascii="华文中宋" w:hAnsi="华文中宋" w:eastAsia="华文中宋"/>
          <w:b/>
          <w:bCs/>
          <w:sz w:val="52"/>
          <w:szCs w:val="52"/>
        </w:rPr>
        <w:t>华能南京金陵发电有限公司</w:t>
      </w:r>
    </w:p>
    <w:p>
      <w:pPr>
        <w:ind w:left="1041" w:hanging="1041" w:hangingChars="200"/>
        <w:jc w:val="center"/>
        <w:rPr>
          <w:rFonts w:ascii="华文中宋" w:hAnsi="华文中宋" w:eastAsia="华文中宋"/>
          <w:b/>
          <w:bCs/>
          <w:sz w:val="52"/>
          <w:szCs w:val="52"/>
        </w:rPr>
      </w:pPr>
      <w:r>
        <w:rPr>
          <w:rFonts w:hint="eastAsia" w:ascii="华文中宋" w:hAnsi="华文中宋" w:eastAsia="华文中宋"/>
          <w:b/>
          <w:bCs/>
          <w:sz w:val="52"/>
          <w:szCs w:val="52"/>
        </w:rPr>
        <w:t>#2锅炉水冷壁防高温腐蚀</w:t>
      </w:r>
    </w:p>
    <w:p>
      <w:pPr>
        <w:ind w:left="1041" w:hanging="1041" w:hangingChars="200"/>
        <w:jc w:val="center"/>
        <w:rPr>
          <w:rFonts w:ascii="黑体" w:hAnsi="黑体" w:eastAsia="黑体"/>
          <w:b/>
          <w:sz w:val="48"/>
          <w:szCs w:val="48"/>
        </w:rPr>
      </w:pPr>
      <w:r>
        <w:rPr>
          <w:rFonts w:hint="eastAsia" w:ascii="华文中宋" w:hAnsi="华文中宋" w:eastAsia="华文中宋"/>
          <w:b/>
          <w:bCs/>
          <w:sz w:val="52"/>
          <w:szCs w:val="52"/>
        </w:rPr>
        <w:t>超音速电弧喷涂</w:t>
      </w:r>
    </w:p>
    <w:p>
      <w:pPr>
        <w:ind w:left="964" w:hanging="964" w:hangingChars="200"/>
        <w:jc w:val="center"/>
        <w:rPr>
          <w:rFonts w:ascii="华文中宋" w:hAnsi="华文中宋" w:eastAsia="华文中宋"/>
          <w:b/>
          <w:bCs/>
          <w:sz w:val="52"/>
          <w:szCs w:val="52"/>
        </w:rPr>
      </w:pPr>
      <w:r>
        <w:rPr>
          <w:rFonts w:hint="eastAsia" w:ascii="黑体" w:hAnsi="黑体" w:eastAsia="黑体"/>
          <w:b/>
          <w:sz w:val="48"/>
          <w:szCs w:val="48"/>
        </w:rPr>
        <w:t>技术规范书</w:t>
      </w:r>
    </w:p>
    <w:p>
      <w:pPr>
        <w:spacing w:line="460" w:lineRule="exact"/>
        <w:jc w:val="center"/>
        <w:rPr>
          <w:b/>
          <w:sz w:val="44"/>
        </w:rPr>
      </w:pPr>
    </w:p>
    <w:p>
      <w:pPr>
        <w:spacing w:line="460" w:lineRule="exact"/>
        <w:jc w:val="center"/>
        <w:rPr>
          <w:b/>
          <w:sz w:val="44"/>
        </w:rPr>
      </w:pPr>
    </w:p>
    <w:p>
      <w:pPr>
        <w:spacing w:line="460" w:lineRule="exact"/>
        <w:jc w:val="center"/>
        <w:rPr>
          <w:b/>
          <w:sz w:val="44"/>
        </w:rPr>
      </w:pPr>
    </w:p>
    <w:p>
      <w:pPr>
        <w:snapToGrid w:val="0"/>
        <w:spacing w:line="300" w:lineRule="auto"/>
        <w:ind w:left="2100" w:firstLine="420"/>
        <w:rPr>
          <w:rFonts w:ascii="宋体"/>
          <w:b/>
          <w:bCs/>
          <w:sz w:val="30"/>
          <w:szCs w:val="30"/>
        </w:rPr>
      </w:pPr>
      <w:r>
        <w:rPr>
          <w:rFonts w:hint="eastAsia" w:ascii="宋体"/>
          <w:b/>
          <w:bCs/>
          <w:sz w:val="30"/>
          <w:szCs w:val="30"/>
        </w:rPr>
        <w:t>批准：</w:t>
      </w:r>
      <w:r>
        <w:rPr>
          <w:rFonts w:hint="eastAsia" w:ascii="宋体"/>
          <w:b/>
          <w:bCs/>
          <w:sz w:val="30"/>
          <w:szCs w:val="30"/>
          <w:u w:val="single"/>
        </w:rPr>
        <w:t xml:space="preserve">                     </w:t>
      </w:r>
    </w:p>
    <w:p>
      <w:pPr>
        <w:snapToGrid w:val="0"/>
        <w:spacing w:line="300" w:lineRule="auto"/>
        <w:jc w:val="center"/>
        <w:rPr>
          <w:rFonts w:ascii="宋体"/>
          <w:b/>
          <w:bCs/>
          <w:sz w:val="30"/>
          <w:szCs w:val="30"/>
        </w:rPr>
      </w:pPr>
    </w:p>
    <w:p>
      <w:pPr>
        <w:snapToGrid w:val="0"/>
        <w:spacing w:line="300" w:lineRule="auto"/>
        <w:ind w:left="2100" w:firstLine="420"/>
        <w:rPr>
          <w:rFonts w:ascii="宋体"/>
          <w:b/>
          <w:bCs/>
          <w:sz w:val="30"/>
          <w:szCs w:val="30"/>
          <w:u w:val="single"/>
        </w:rPr>
      </w:pPr>
      <w:r>
        <w:rPr>
          <w:rFonts w:hint="eastAsia" w:ascii="宋体"/>
          <w:b/>
          <w:bCs/>
          <w:sz w:val="30"/>
          <w:szCs w:val="30"/>
        </w:rPr>
        <w:t>审核：</w:t>
      </w:r>
      <w:r>
        <w:rPr>
          <w:rFonts w:hint="eastAsia" w:ascii="宋体"/>
          <w:b/>
          <w:bCs/>
          <w:sz w:val="30"/>
          <w:szCs w:val="30"/>
          <w:u w:val="single"/>
        </w:rPr>
        <w:t xml:space="preserve">                     </w:t>
      </w:r>
    </w:p>
    <w:p>
      <w:pPr>
        <w:snapToGrid w:val="0"/>
        <w:spacing w:line="300" w:lineRule="auto"/>
        <w:ind w:left="2100" w:firstLine="420"/>
        <w:rPr>
          <w:rFonts w:ascii="宋体"/>
          <w:b/>
          <w:bCs/>
          <w:sz w:val="30"/>
          <w:szCs w:val="30"/>
        </w:rPr>
      </w:pPr>
    </w:p>
    <w:p>
      <w:pPr>
        <w:snapToGrid w:val="0"/>
        <w:spacing w:line="300" w:lineRule="auto"/>
        <w:ind w:left="2100" w:firstLine="420"/>
        <w:rPr>
          <w:rFonts w:ascii="宋体"/>
          <w:b/>
          <w:bCs/>
          <w:sz w:val="30"/>
          <w:szCs w:val="30"/>
          <w:u w:val="single"/>
        </w:rPr>
      </w:pPr>
      <w:r>
        <w:rPr>
          <w:rFonts w:hint="eastAsia" w:ascii="宋体"/>
          <w:b/>
          <w:bCs/>
          <w:sz w:val="30"/>
          <w:szCs w:val="30"/>
        </w:rPr>
        <w:t>初审：</w:t>
      </w:r>
      <w:r>
        <w:rPr>
          <w:rFonts w:hint="eastAsia" w:ascii="宋体"/>
          <w:b/>
          <w:bCs/>
          <w:sz w:val="30"/>
          <w:szCs w:val="30"/>
          <w:u w:val="single"/>
        </w:rPr>
        <w:t xml:space="preserve">                     </w:t>
      </w:r>
    </w:p>
    <w:p>
      <w:pPr>
        <w:snapToGrid w:val="0"/>
        <w:spacing w:line="300" w:lineRule="auto"/>
        <w:jc w:val="center"/>
        <w:rPr>
          <w:rFonts w:ascii="宋体"/>
          <w:b/>
          <w:bCs/>
          <w:sz w:val="30"/>
          <w:szCs w:val="30"/>
        </w:rPr>
      </w:pPr>
    </w:p>
    <w:p>
      <w:pPr>
        <w:snapToGrid w:val="0"/>
        <w:spacing w:line="300" w:lineRule="auto"/>
        <w:ind w:left="2100" w:firstLine="420"/>
        <w:rPr>
          <w:rFonts w:ascii="宋体"/>
          <w:b/>
          <w:bCs/>
          <w:sz w:val="30"/>
          <w:szCs w:val="30"/>
        </w:rPr>
      </w:pPr>
      <w:r>
        <w:rPr>
          <w:rFonts w:hint="eastAsia" w:ascii="宋体"/>
          <w:b/>
          <w:bCs/>
          <w:sz w:val="30"/>
          <w:szCs w:val="30"/>
        </w:rPr>
        <w:t>编写：</w:t>
      </w:r>
      <w:r>
        <w:rPr>
          <w:rFonts w:hint="eastAsia" w:ascii="宋体"/>
          <w:b/>
          <w:bCs/>
          <w:sz w:val="30"/>
          <w:szCs w:val="30"/>
          <w:u w:val="single"/>
        </w:rPr>
        <w:t xml:space="preserve">                     </w:t>
      </w:r>
    </w:p>
    <w:p>
      <w:pPr>
        <w:snapToGrid w:val="0"/>
        <w:spacing w:line="300" w:lineRule="auto"/>
        <w:jc w:val="center"/>
        <w:rPr>
          <w:rFonts w:ascii="宋体"/>
          <w:b/>
          <w:bCs/>
        </w:rPr>
      </w:pPr>
    </w:p>
    <w:p>
      <w:pPr>
        <w:snapToGrid w:val="0"/>
        <w:spacing w:line="300" w:lineRule="auto"/>
        <w:jc w:val="center"/>
        <w:rPr>
          <w:rFonts w:ascii="宋体"/>
          <w:b/>
          <w:bCs/>
        </w:rPr>
      </w:pPr>
    </w:p>
    <w:p>
      <w:pPr>
        <w:snapToGrid w:val="0"/>
        <w:spacing w:line="300" w:lineRule="auto"/>
        <w:jc w:val="center"/>
        <w:rPr>
          <w:rFonts w:ascii="宋体"/>
          <w:b/>
          <w:bCs/>
        </w:rPr>
      </w:pPr>
    </w:p>
    <w:p>
      <w:pPr>
        <w:snapToGrid w:val="0"/>
        <w:jc w:val="center"/>
        <w:rPr>
          <w:rFonts w:ascii="宋体"/>
          <w:b/>
          <w:bCs/>
        </w:rPr>
      </w:pPr>
    </w:p>
    <w:p>
      <w:pPr>
        <w:jc w:val="center"/>
        <w:rPr>
          <w:sz w:val="30"/>
          <w:szCs w:val="30"/>
        </w:rPr>
      </w:pPr>
      <w:r>
        <w:rPr>
          <w:rFonts w:hint="eastAsia"/>
          <w:sz w:val="30"/>
          <w:szCs w:val="30"/>
        </w:rPr>
        <w:t>华能南京金陵发电有限公司</w:t>
      </w:r>
    </w:p>
    <w:p>
      <w:pPr>
        <w:jc w:val="center"/>
        <w:rPr>
          <w:sz w:val="30"/>
          <w:szCs w:val="30"/>
        </w:rPr>
      </w:pPr>
      <w:r>
        <w:rPr>
          <w:rFonts w:hint="eastAsia"/>
          <w:sz w:val="30"/>
          <w:szCs w:val="30"/>
        </w:rPr>
        <w:t>2023年02月</w:t>
      </w:r>
    </w:p>
    <w:p>
      <w:pPr>
        <w:widowControl/>
        <w:jc w:val="left"/>
        <w:rPr>
          <w:b/>
          <w:sz w:val="44"/>
          <w:szCs w:val="44"/>
        </w:rPr>
      </w:pPr>
    </w:p>
    <w:p>
      <w:pPr>
        <w:widowControl/>
        <w:jc w:val="left"/>
        <w:rPr>
          <w:b/>
          <w:sz w:val="30"/>
          <w:szCs w:val="30"/>
        </w:rPr>
      </w:pPr>
      <w:bookmarkStart w:id="0" w:name="_Toc55054632"/>
      <w:bookmarkStart w:id="1" w:name="_Toc46050595"/>
      <w:bookmarkStart w:id="2" w:name="_Toc55392433"/>
    </w:p>
    <w:p>
      <w:pPr>
        <w:widowControl/>
        <w:jc w:val="left"/>
        <w:rPr>
          <w:b/>
          <w:sz w:val="32"/>
          <w:szCs w:val="32"/>
        </w:rPr>
      </w:pPr>
      <w:r>
        <w:rPr>
          <w:b/>
          <w:sz w:val="32"/>
          <w:szCs w:val="32"/>
        </w:rPr>
        <w:br w:type="page"/>
      </w:r>
    </w:p>
    <w:p>
      <w:pPr>
        <w:rPr>
          <w:b/>
          <w:sz w:val="32"/>
          <w:szCs w:val="32"/>
        </w:rPr>
      </w:pPr>
      <w:r>
        <w:rPr>
          <w:b/>
          <w:sz w:val="32"/>
          <w:szCs w:val="32"/>
        </w:rPr>
        <w:t>一、总则</w:t>
      </w:r>
      <w:bookmarkEnd w:id="0"/>
      <w:bookmarkEnd w:id="1"/>
      <w:bookmarkEnd w:id="2"/>
    </w:p>
    <w:p>
      <w:pPr>
        <w:spacing w:line="360" w:lineRule="auto"/>
        <w:ind w:left="78" w:leftChars="37" w:firstLine="504" w:firstLineChars="200"/>
        <w:rPr>
          <w:sz w:val="24"/>
          <w:szCs w:val="24"/>
        </w:rPr>
      </w:pPr>
      <w:r>
        <w:rPr>
          <w:spacing w:val="6"/>
          <w:kern w:val="4"/>
          <w:sz w:val="24"/>
          <w:szCs w:val="24"/>
        </w:rPr>
        <w:t>1、本规范适用于华能金陵电厂1030MW燃煤发电机组</w:t>
      </w:r>
      <w:r>
        <w:rPr>
          <w:rFonts w:hint="eastAsia"/>
          <w:spacing w:val="6"/>
          <w:kern w:val="4"/>
          <w:sz w:val="24"/>
          <w:szCs w:val="24"/>
        </w:rPr>
        <w:t>#2</w:t>
      </w:r>
      <w:r>
        <w:rPr>
          <w:spacing w:val="6"/>
          <w:kern w:val="4"/>
          <w:sz w:val="24"/>
          <w:szCs w:val="24"/>
        </w:rPr>
        <w:t>锅炉水冷壁</w:t>
      </w:r>
      <w:r>
        <w:rPr>
          <w:rFonts w:hint="eastAsia"/>
          <w:spacing w:val="6"/>
          <w:kern w:val="4"/>
          <w:sz w:val="24"/>
          <w:szCs w:val="24"/>
        </w:rPr>
        <w:t>防高温腐蚀及防磨</w:t>
      </w:r>
      <w:r>
        <w:rPr>
          <w:sz w:val="24"/>
          <w:szCs w:val="24"/>
        </w:rPr>
        <w:t>超音速电弧喷涂(以下简称喷涂)</w:t>
      </w:r>
      <w:r>
        <w:rPr>
          <w:spacing w:val="6"/>
          <w:kern w:val="4"/>
          <w:sz w:val="24"/>
          <w:szCs w:val="24"/>
        </w:rPr>
        <w:t>工程的技术要求</w:t>
      </w:r>
      <w:r>
        <w:rPr>
          <w:sz w:val="24"/>
          <w:szCs w:val="24"/>
        </w:rPr>
        <w:t>，它提出了喷涂工艺设计、施工机具、喷涂施工及材料、试验检验、质量标准、施工安全等方面的要求。</w:t>
      </w:r>
    </w:p>
    <w:p>
      <w:pPr>
        <w:spacing w:line="360" w:lineRule="auto"/>
        <w:ind w:firstLine="600" w:firstLineChars="250"/>
        <w:rPr>
          <w:sz w:val="24"/>
          <w:szCs w:val="24"/>
        </w:rPr>
      </w:pPr>
      <w:r>
        <w:rPr>
          <w:sz w:val="24"/>
          <w:szCs w:val="24"/>
        </w:rPr>
        <w:t>2、投标方没有以书面形式对本技术规范书的条文提出异议，招标方可以认为投标方提供的服务完全满足本技术规范书的要求。</w:t>
      </w:r>
    </w:p>
    <w:p>
      <w:pPr>
        <w:spacing w:line="360" w:lineRule="auto"/>
        <w:ind w:firstLine="600" w:firstLineChars="250"/>
        <w:rPr>
          <w:sz w:val="24"/>
          <w:szCs w:val="24"/>
        </w:rPr>
      </w:pPr>
      <w:r>
        <w:rPr>
          <w:sz w:val="24"/>
          <w:szCs w:val="24"/>
        </w:rPr>
        <w:t>3、投标方必须承诺：</w:t>
      </w:r>
    </w:p>
    <w:p>
      <w:pPr>
        <w:pStyle w:val="20"/>
        <w:numPr>
          <w:ilvl w:val="0"/>
          <w:numId w:val="2"/>
        </w:numPr>
        <w:spacing w:line="360" w:lineRule="auto"/>
        <w:ind w:firstLineChars="0"/>
        <w:rPr>
          <w:rFonts w:ascii="Times New Roman" w:hAnsi="Times New Roman"/>
          <w:sz w:val="24"/>
          <w:szCs w:val="24"/>
        </w:rPr>
      </w:pPr>
      <w:r>
        <w:rPr>
          <w:rFonts w:ascii="Times New Roman" w:hAnsi="Times New Roman"/>
          <w:sz w:val="24"/>
          <w:szCs w:val="24"/>
        </w:rPr>
        <w:t>所供材料在数量、类型、功能、性能方面都必须满足招标书的要求（除非在差异表中特别说明的），即使在投标方《供货范围》里没有列出，但又是满足招标书和澄清文件的要求所必需的，则投标方也必须提供而不再发生任何费用问题。</w:t>
      </w:r>
      <w:r>
        <w:rPr>
          <w:rFonts w:hint="eastAsia" w:ascii="Times New Roman" w:hAnsi="Times New Roman"/>
          <w:sz w:val="24"/>
          <w:szCs w:val="24"/>
        </w:rPr>
        <w:t>所供材料必须提供最新原产地证明、报关单及采购证明，且承诺不低于3KG/</w:t>
      </w:r>
      <w:r>
        <w:rPr>
          <w:rFonts w:hint="eastAsia" w:ascii="宋体" w:hAnsi="宋体" w:cs="宋体"/>
          <w:sz w:val="24"/>
          <w:szCs w:val="24"/>
        </w:rPr>
        <w:t>㎡的焊丝量。</w:t>
      </w:r>
    </w:p>
    <w:p>
      <w:pPr>
        <w:pStyle w:val="20"/>
        <w:numPr>
          <w:ilvl w:val="0"/>
          <w:numId w:val="2"/>
        </w:numPr>
        <w:spacing w:line="360" w:lineRule="auto"/>
        <w:ind w:firstLineChars="0"/>
        <w:rPr>
          <w:rFonts w:ascii="Times New Roman" w:hAnsi="Times New Roman"/>
          <w:sz w:val="24"/>
          <w:szCs w:val="24"/>
        </w:rPr>
      </w:pPr>
      <w:r>
        <w:rPr>
          <w:rFonts w:ascii="Times New Roman" w:hAnsi="Times New Roman"/>
          <w:sz w:val="24"/>
          <w:szCs w:val="24"/>
        </w:rPr>
        <w:t>所有与招标书要求有差异的投标响应均已在投标差异表中列出，如果未填写差异表，意味着投标方完全响应招标文件的所有要求。</w:t>
      </w:r>
    </w:p>
    <w:p>
      <w:pPr>
        <w:pStyle w:val="20"/>
        <w:numPr>
          <w:ilvl w:val="0"/>
          <w:numId w:val="2"/>
        </w:numPr>
        <w:spacing w:line="360" w:lineRule="auto"/>
        <w:ind w:firstLineChars="0"/>
        <w:rPr>
          <w:rFonts w:ascii="Times New Roman" w:hAnsi="Times New Roman"/>
          <w:sz w:val="24"/>
          <w:szCs w:val="24"/>
        </w:rPr>
      </w:pPr>
      <w:r>
        <w:rPr>
          <w:rFonts w:ascii="Times New Roman" w:hAnsi="Times New Roman"/>
          <w:sz w:val="24"/>
          <w:szCs w:val="24"/>
        </w:rPr>
        <w:t>凡在投标文件中出现前后不一致的内容，最终如何选择由招标方确定。</w:t>
      </w:r>
    </w:p>
    <w:p>
      <w:pPr>
        <w:spacing w:line="360" w:lineRule="auto"/>
        <w:ind w:left="78" w:leftChars="37" w:firstLine="480" w:firstLineChars="200"/>
        <w:rPr>
          <w:sz w:val="24"/>
          <w:szCs w:val="24"/>
        </w:rPr>
      </w:pPr>
      <w:r>
        <w:rPr>
          <w:sz w:val="24"/>
          <w:szCs w:val="24"/>
        </w:rPr>
        <w:t>4、招标方有权以书面形式提出因标准和规程发生变化而产生的一些补充修改要求，具体款项由双方共同商定。</w:t>
      </w:r>
    </w:p>
    <w:p>
      <w:pPr>
        <w:spacing w:line="360" w:lineRule="auto"/>
        <w:ind w:left="78" w:leftChars="37" w:firstLine="480" w:firstLineChars="200"/>
        <w:rPr>
          <w:sz w:val="24"/>
          <w:szCs w:val="24"/>
        </w:rPr>
      </w:pPr>
      <w:r>
        <w:rPr>
          <w:sz w:val="24"/>
          <w:szCs w:val="24"/>
        </w:rPr>
        <w:t>5、本技术规范书所使用的标准如遇与投标方所执行的标准发生矛盾时，按技术要求较严格的标准执行。</w:t>
      </w:r>
    </w:p>
    <w:p>
      <w:pPr>
        <w:spacing w:line="360" w:lineRule="auto"/>
        <w:ind w:left="78" w:leftChars="37" w:firstLine="480" w:firstLineChars="200"/>
        <w:rPr>
          <w:sz w:val="24"/>
          <w:szCs w:val="24"/>
        </w:rPr>
      </w:pPr>
      <w:r>
        <w:rPr>
          <w:sz w:val="24"/>
          <w:szCs w:val="24"/>
        </w:rPr>
        <w:t>6、本技术规范书提出的是最低限度的技术要求，并未对一切技术细节作出规定，也未充分引述有关标准和规范的条文，投标方保证提供符合本技术规范书和最新行业标准的优质服务。</w:t>
      </w:r>
    </w:p>
    <w:p>
      <w:pPr>
        <w:spacing w:line="360" w:lineRule="auto"/>
        <w:ind w:left="78" w:leftChars="37" w:firstLine="480" w:firstLineChars="200"/>
        <w:rPr>
          <w:sz w:val="24"/>
          <w:szCs w:val="24"/>
        </w:rPr>
      </w:pPr>
      <w:r>
        <w:rPr>
          <w:sz w:val="24"/>
          <w:szCs w:val="24"/>
        </w:rPr>
        <w:t>7、只有招标方有权修改本技术规范书。合同谈判将以本技术规范书为蓝本，最终修改后双方签署的技术协议将作为合同的一个附件，并与合同文件有相同的法律效力。双方共同签署的会议纪要、补充文件也与合同文件有相同的法律效力。</w:t>
      </w:r>
    </w:p>
    <w:p>
      <w:pPr>
        <w:spacing w:line="360" w:lineRule="auto"/>
        <w:ind w:left="78" w:leftChars="37" w:firstLine="480" w:firstLineChars="200"/>
        <w:rPr>
          <w:sz w:val="24"/>
          <w:szCs w:val="24"/>
        </w:rPr>
      </w:pPr>
      <w:r>
        <w:rPr>
          <w:sz w:val="24"/>
          <w:szCs w:val="24"/>
        </w:rPr>
        <w:t>8、 涉及专利的全部费用均被认为已包含在报价中，投标方应保证招标方不承担与本项目有关的专利的任何责任。</w:t>
      </w:r>
    </w:p>
    <w:p>
      <w:pPr>
        <w:spacing w:line="360" w:lineRule="auto"/>
        <w:ind w:left="78" w:leftChars="37" w:firstLine="480" w:firstLineChars="200"/>
        <w:rPr>
          <w:sz w:val="24"/>
          <w:szCs w:val="24"/>
        </w:rPr>
      </w:pPr>
      <w:r>
        <w:rPr>
          <w:sz w:val="24"/>
          <w:szCs w:val="24"/>
        </w:rPr>
        <w:t>9、投标方严格按照招标文件的表格填写技术数据，不随意更改次序，表格中的项目不得删除，若投标方设备在表格没有列出，则在表格最末尾增加，且应注明。</w:t>
      </w:r>
    </w:p>
    <w:p>
      <w:pPr>
        <w:pStyle w:val="8"/>
        <w:numPr>
          <w:ilvl w:val="0"/>
          <w:numId w:val="3"/>
        </w:numPr>
        <w:spacing w:line="360" w:lineRule="auto"/>
        <w:ind w:leftChars="0"/>
        <w:rPr>
          <w:b/>
          <w:sz w:val="32"/>
          <w:szCs w:val="32"/>
        </w:rPr>
      </w:pPr>
      <w:r>
        <w:rPr>
          <w:b/>
          <w:sz w:val="32"/>
          <w:szCs w:val="32"/>
        </w:rPr>
        <w:t>执行的法律、法规、标准、规范、制度如下（不限于以下所列）</w:t>
      </w:r>
    </w:p>
    <w:p>
      <w:pPr>
        <w:spacing w:line="360" w:lineRule="auto"/>
        <w:ind w:left="78" w:leftChars="37" w:firstLine="480" w:firstLineChars="200"/>
        <w:rPr>
          <w:sz w:val="24"/>
          <w:szCs w:val="24"/>
        </w:rPr>
      </w:pPr>
      <w:r>
        <w:rPr>
          <w:sz w:val="24"/>
          <w:szCs w:val="24"/>
        </w:rPr>
        <w:t>1、 喷涂施工作业执行标准的一般原则</w:t>
      </w:r>
    </w:p>
    <w:p>
      <w:pPr>
        <w:spacing w:line="360" w:lineRule="auto"/>
        <w:ind w:left="78" w:leftChars="37" w:firstLine="480" w:firstLineChars="200"/>
        <w:rPr>
          <w:sz w:val="24"/>
          <w:szCs w:val="24"/>
        </w:rPr>
      </w:pPr>
      <w:r>
        <w:rPr>
          <w:sz w:val="24"/>
          <w:szCs w:val="24"/>
        </w:rPr>
        <w:t>1.1喷涂作业应按现行国家标准、相关行业标准执行。</w:t>
      </w:r>
    </w:p>
    <w:p>
      <w:pPr>
        <w:spacing w:line="360" w:lineRule="auto"/>
        <w:ind w:left="78" w:leftChars="37" w:firstLine="480" w:firstLineChars="200"/>
        <w:rPr>
          <w:sz w:val="24"/>
          <w:szCs w:val="24"/>
        </w:rPr>
      </w:pPr>
      <w:r>
        <w:rPr>
          <w:sz w:val="24"/>
          <w:szCs w:val="24"/>
        </w:rPr>
        <w:t>1.2喷涂材料应执行生产国现行的相关标准。</w:t>
      </w:r>
    </w:p>
    <w:p>
      <w:pPr>
        <w:spacing w:line="360" w:lineRule="auto"/>
        <w:ind w:left="78" w:leftChars="37" w:firstLine="480" w:firstLineChars="200"/>
        <w:rPr>
          <w:sz w:val="24"/>
          <w:szCs w:val="24"/>
        </w:rPr>
      </w:pPr>
      <w:r>
        <w:rPr>
          <w:sz w:val="24"/>
          <w:szCs w:val="24"/>
        </w:rPr>
        <w:t>1.3如果本技术规范书中存在某些要求高于上述标准，则以技术规范书的要求为准。</w:t>
      </w:r>
    </w:p>
    <w:p>
      <w:pPr>
        <w:spacing w:line="360" w:lineRule="auto"/>
        <w:ind w:left="78" w:leftChars="37" w:firstLine="480" w:firstLineChars="200"/>
        <w:rPr>
          <w:sz w:val="24"/>
          <w:szCs w:val="24"/>
        </w:rPr>
      </w:pPr>
      <w:r>
        <w:rPr>
          <w:sz w:val="24"/>
          <w:szCs w:val="24"/>
        </w:rPr>
        <w:t>1.4在上述标准、规程（规定）发生矛盾的情况下，以要求高的标准为准。</w:t>
      </w:r>
    </w:p>
    <w:p>
      <w:pPr>
        <w:spacing w:line="360" w:lineRule="auto"/>
        <w:ind w:left="78" w:leftChars="37" w:firstLine="480" w:firstLineChars="200"/>
        <w:rPr>
          <w:sz w:val="24"/>
          <w:szCs w:val="24"/>
        </w:rPr>
      </w:pPr>
      <w:r>
        <w:rPr>
          <w:sz w:val="24"/>
          <w:szCs w:val="24"/>
        </w:rPr>
        <w:t>2 、投标方在喷涂作业中应执行的标准(不限于此)</w:t>
      </w:r>
    </w:p>
    <w:tbl>
      <w:tblPr>
        <w:tblStyle w:val="15"/>
        <w:tblW w:w="8234" w:type="dxa"/>
        <w:tblInd w:w="288" w:type="dxa"/>
        <w:tblLayout w:type="fixed"/>
        <w:tblCellMar>
          <w:top w:w="0" w:type="dxa"/>
          <w:left w:w="108" w:type="dxa"/>
          <w:bottom w:w="0" w:type="dxa"/>
          <w:right w:w="108" w:type="dxa"/>
        </w:tblCellMar>
      </w:tblPr>
      <w:tblGrid>
        <w:gridCol w:w="2641"/>
        <w:gridCol w:w="5593"/>
      </w:tblGrid>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230-2004</w:t>
            </w:r>
          </w:p>
        </w:tc>
        <w:tc>
          <w:tcPr>
            <w:tcW w:w="5593" w:type="dxa"/>
          </w:tcPr>
          <w:p>
            <w:pPr>
              <w:spacing w:line="360" w:lineRule="auto"/>
              <w:rPr>
                <w:sz w:val="24"/>
              </w:rPr>
            </w:pPr>
            <w:r>
              <w:rPr>
                <w:sz w:val="24"/>
              </w:rPr>
              <w:t xml:space="preserve">金属洛氏硬度试验 </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1186-2007</w:t>
            </w:r>
          </w:p>
        </w:tc>
        <w:tc>
          <w:tcPr>
            <w:tcW w:w="5593" w:type="dxa"/>
          </w:tcPr>
          <w:p>
            <w:pPr>
              <w:spacing w:line="360" w:lineRule="auto"/>
              <w:rPr>
                <w:sz w:val="24"/>
              </w:rPr>
            </w:pPr>
            <w:r>
              <w:rPr>
                <w:sz w:val="24"/>
              </w:rPr>
              <w:t>压缩空气用织物增强橡胶软管</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4956-2003</w:t>
            </w:r>
          </w:p>
        </w:tc>
        <w:tc>
          <w:tcPr>
            <w:tcW w:w="5593" w:type="dxa"/>
          </w:tcPr>
          <w:p>
            <w:pPr>
              <w:spacing w:line="360" w:lineRule="auto"/>
              <w:rPr>
                <w:sz w:val="24"/>
              </w:rPr>
            </w:pPr>
            <w:r>
              <w:rPr>
                <w:sz w:val="24"/>
              </w:rPr>
              <w:t>磁性基体上非磁性覆盖层 覆盖层厚度测量 磁性法</w:t>
            </w:r>
          </w:p>
        </w:tc>
      </w:tr>
      <w:tr>
        <w:tblPrEx>
          <w:tblLayout w:type="fixed"/>
        </w:tblPrEx>
        <w:tc>
          <w:tcPr>
            <w:tcW w:w="2641" w:type="dxa"/>
          </w:tcPr>
          <w:p>
            <w:pPr>
              <w:spacing w:line="360" w:lineRule="auto"/>
              <w:jc w:val="left"/>
              <w:rPr>
                <w:sz w:val="24"/>
              </w:rPr>
            </w:pPr>
            <w:r>
              <w:rPr>
                <w:sz w:val="24"/>
              </w:rPr>
              <w:t>GB/T 4957-2003</w:t>
            </w:r>
          </w:p>
        </w:tc>
        <w:tc>
          <w:tcPr>
            <w:tcW w:w="5593" w:type="dxa"/>
          </w:tcPr>
          <w:p>
            <w:pPr>
              <w:spacing w:line="360" w:lineRule="auto"/>
              <w:rPr>
                <w:sz w:val="24"/>
              </w:rPr>
            </w:pPr>
            <w:r>
              <w:rPr>
                <w:sz w:val="24"/>
              </w:rPr>
              <w:t>非磁性基体金属上非导电覆盖层 覆盖层厚度测量 涡流法</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YS/T 541-2006</w:t>
            </w:r>
          </w:p>
        </w:tc>
        <w:tc>
          <w:tcPr>
            <w:tcW w:w="5593" w:type="dxa"/>
          </w:tcPr>
          <w:p>
            <w:pPr>
              <w:spacing w:line="360" w:lineRule="auto"/>
              <w:rPr>
                <w:sz w:val="24"/>
              </w:rPr>
            </w:pPr>
            <w:r>
              <w:rPr>
                <w:sz w:val="24"/>
              </w:rPr>
              <w:t>金属热喷涂层表面洛氏硬度试验方法</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bCs/>
                <w:sz w:val="24"/>
              </w:rPr>
              <w:t>YS/T 542-2006</w:t>
            </w:r>
          </w:p>
        </w:tc>
        <w:tc>
          <w:tcPr>
            <w:tcW w:w="5593" w:type="dxa"/>
          </w:tcPr>
          <w:p>
            <w:pPr>
              <w:spacing w:line="360" w:lineRule="auto"/>
              <w:rPr>
                <w:sz w:val="24"/>
              </w:rPr>
            </w:pPr>
            <w:r>
              <w:rPr>
                <w:sz w:val="24"/>
              </w:rPr>
              <w:t>热喷涂层抗拉强度的测定</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8642-2002</w:t>
            </w:r>
          </w:p>
        </w:tc>
        <w:tc>
          <w:tcPr>
            <w:tcW w:w="5593" w:type="dxa"/>
          </w:tcPr>
          <w:p>
            <w:pPr>
              <w:spacing w:line="360" w:lineRule="auto"/>
              <w:rPr>
                <w:sz w:val="24"/>
              </w:rPr>
            </w:pPr>
            <w:r>
              <w:rPr>
                <w:sz w:val="24"/>
              </w:rPr>
              <w:t>热喷涂 抗拉结合强度的测定</w:t>
            </w:r>
          </w:p>
        </w:tc>
      </w:tr>
      <w:tr>
        <w:tblPrEx>
          <w:tblLayout w:type="fixed"/>
        </w:tblPrEx>
        <w:tc>
          <w:tcPr>
            <w:tcW w:w="2641" w:type="dxa"/>
          </w:tcPr>
          <w:p>
            <w:pPr>
              <w:spacing w:line="360" w:lineRule="auto"/>
              <w:jc w:val="left"/>
              <w:rPr>
                <w:sz w:val="24"/>
              </w:rPr>
            </w:pPr>
            <w:r>
              <w:rPr>
                <w:sz w:val="24"/>
              </w:rPr>
              <w:t>GB/T 9445-2008</w:t>
            </w:r>
          </w:p>
        </w:tc>
        <w:tc>
          <w:tcPr>
            <w:tcW w:w="5593" w:type="dxa"/>
          </w:tcPr>
          <w:p>
            <w:pPr>
              <w:spacing w:line="360" w:lineRule="auto"/>
              <w:rPr>
                <w:sz w:val="24"/>
              </w:rPr>
            </w:pPr>
            <w:r>
              <w:rPr>
                <w:sz w:val="24"/>
              </w:rPr>
              <w:t>无损喷涂施工人员的资格鉴定与认证</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1031-1995</w:t>
            </w:r>
          </w:p>
        </w:tc>
        <w:tc>
          <w:tcPr>
            <w:tcW w:w="5593" w:type="dxa"/>
          </w:tcPr>
          <w:p>
            <w:pPr>
              <w:spacing w:line="360" w:lineRule="auto"/>
              <w:rPr>
                <w:sz w:val="24"/>
              </w:rPr>
            </w:pPr>
            <w:r>
              <w:rPr>
                <w:sz w:val="24"/>
              </w:rPr>
              <w:t>表面粗糙度 参数及其数值</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 11373-1989</w:t>
            </w:r>
          </w:p>
        </w:tc>
        <w:tc>
          <w:tcPr>
            <w:tcW w:w="5593" w:type="dxa"/>
          </w:tcPr>
          <w:p>
            <w:pPr>
              <w:spacing w:line="360" w:lineRule="auto"/>
              <w:rPr>
                <w:sz w:val="24"/>
              </w:rPr>
            </w:pPr>
            <w:r>
              <w:rPr>
                <w:sz w:val="24"/>
              </w:rPr>
              <w:t>热喷涂金属件表面预处理通则</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GB11374-2012</w:t>
            </w:r>
          </w:p>
        </w:tc>
        <w:tc>
          <w:tcPr>
            <w:tcW w:w="5593" w:type="dxa"/>
          </w:tcPr>
          <w:p>
            <w:pPr>
              <w:spacing w:line="360" w:lineRule="auto"/>
              <w:rPr>
                <w:sz w:val="24"/>
              </w:rPr>
            </w:pPr>
            <w:r>
              <w:rPr>
                <w:sz w:val="24"/>
              </w:rPr>
              <w:t>热喷涂涂层厚度的无损测量方法</w:t>
            </w:r>
          </w:p>
        </w:tc>
      </w:tr>
      <w:tr>
        <w:tblPrEx>
          <w:tblLayout w:type="fixed"/>
        </w:tblPrEx>
        <w:tc>
          <w:tcPr>
            <w:tcW w:w="2641" w:type="dxa"/>
          </w:tcPr>
          <w:p>
            <w:pPr>
              <w:spacing w:line="360" w:lineRule="auto"/>
              <w:jc w:val="left"/>
              <w:rPr>
                <w:sz w:val="24"/>
              </w:rPr>
            </w:pPr>
            <w:r>
              <w:rPr>
                <w:sz w:val="24"/>
              </w:rPr>
              <w:t>GB 11375-1999</w:t>
            </w:r>
          </w:p>
        </w:tc>
        <w:tc>
          <w:tcPr>
            <w:tcW w:w="5593" w:type="dxa"/>
          </w:tcPr>
          <w:p>
            <w:pPr>
              <w:spacing w:line="360" w:lineRule="auto"/>
              <w:rPr>
                <w:sz w:val="24"/>
              </w:rPr>
            </w:pPr>
            <w:r>
              <w:rPr>
                <w:bCs/>
                <w:sz w:val="24"/>
              </w:rPr>
              <w:t>金属和其他无机覆盖层热喷涂 操作安全</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13288.1-2008</w:t>
            </w:r>
          </w:p>
        </w:tc>
        <w:tc>
          <w:tcPr>
            <w:tcW w:w="5593" w:type="dxa"/>
          </w:tcPr>
          <w:p>
            <w:pPr>
              <w:spacing w:line="360" w:lineRule="auto"/>
              <w:rPr>
                <w:spacing w:val="-4"/>
                <w:sz w:val="24"/>
              </w:rPr>
            </w:pPr>
            <w:r>
              <w:rPr>
                <w:spacing w:val="-4"/>
                <w:sz w:val="24"/>
              </w:rPr>
              <w:t>涂覆涂料前钢材表面处理 喷射清理后的钢材表面粗糙度特性 第1部分：用于评定喷射清理后钢材表面粗糙度的ISO表面粗糙度比较样块的技术要求和定义</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17720-1999</w:t>
            </w:r>
          </w:p>
        </w:tc>
        <w:tc>
          <w:tcPr>
            <w:tcW w:w="5593" w:type="dxa"/>
          </w:tcPr>
          <w:p>
            <w:pPr>
              <w:spacing w:line="360" w:lineRule="auto"/>
              <w:rPr>
                <w:sz w:val="24"/>
              </w:rPr>
            </w:pPr>
            <w:r>
              <w:rPr>
                <w:sz w:val="24"/>
              </w:rPr>
              <w:t>金属覆盖层 孔隙率试验评述</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17721-1999</w:t>
            </w:r>
          </w:p>
        </w:tc>
        <w:tc>
          <w:tcPr>
            <w:tcW w:w="5593" w:type="dxa"/>
          </w:tcPr>
          <w:p>
            <w:pPr>
              <w:spacing w:line="360" w:lineRule="auto"/>
              <w:rPr>
                <w:sz w:val="24"/>
              </w:rPr>
            </w:pPr>
            <w:r>
              <w:rPr>
                <w:sz w:val="24"/>
              </w:rPr>
              <w:t>金属覆盖层 孔隙率试验 铁试剂试验</w:t>
            </w:r>
          </w:p>
        </w:tc>
      </w:tr>
      <w:tr>
        <w:tblPrEx>
          <w:tblLayout w:type="fixed"/>
        </w:tblPrEx>
        <w:tc>
          <w:tcPr>
            <w:tcW w:w="2641" w:type="dxa"/>
          </w:tcPr>
          <w:p>
            <w:pPr>
              <w:spacing w:line="360" w:lineRule="auto"/>
              <w:jc w:val="left"/>
              <w:rPr>
                <w:sz w:val="24"/>
              </w:rPr>
            </w:pPr>
            <w:r>
              <w:rPr>
                <w:sz w:val="24"/>
              </w:rPr>
              <w:t>GB/T 19352-2003</w:t>
            </w:r>
          </w:p>
        </w:tc>
        <w:tc>
          <w:tcPr>
            <w:tcW w:w="5593" w:type="dxa"/>
          </w:tcPr>
          <w:p>
            <w:pPr>
              <w:spacing w:line="360" w:lineRule="auto"/>
              <w:jc w:val="left"/>
              <w:rPr>
                <w:sz w:val="24"/>
              </w:rPr>
            </w:pPr>
            <w:r>
              <w:rPr>
                <w:sz w:val="24"/>
              </w:rPr>
              <w:t>热喷涂 热喷涂结构的质量要求</w:t>
            </w:r>
          </w:p>
        </w:tc>
      </w:tr>
      <w:tr>
        <w:tblPrEx>
          <w:tblLayout w:type="fixed"/>
          <w:tblCellMar>
            <w:top w:w="0" w:type="dxa"/>
            <w:left w:w="108" w:type="dxa"/>
            <w:bottom w:w="0" w:type="dxa"/>
            <w:right w:w="108" w:type="dxa"/>
          </w:tblCellMar>
        </w:tblPrEx>
        <w:tc>
          <w:tcPr>
            <w:tcW w:w="2641" w:type="dxa"/>
          </w:tcPr>
          <w:p>
            <w:pPr>
              <w:spacing w:line="360" w:lineRule="auto"/>
              <w:jc w:val="left"/>
              <w:rPr>
                <w:sz w:val="24"/>
              </w:rPr>
            </w:pPr>
            <w:r>
              <w:rPr>
                <w:sz w:val="24"/>
              </w:rPr>
              <w:t>GB/T 20019-2005</w:t>
            </w:r>
          </w:p>
        </w:tc>
        <w:tc>
          <w:tcPr>
            <w:tcW w:w="5593" w:type="dxa"/>
          </w:tcPr>
          <w:p>
            <w:pPr>
              <w:spacing w:line="360" w:lineRule="auto"/>
              <w:jc w:val="left"/>
              <w:rPr>
                <w:sz w:val="24"/>
              </w:rPr>
            </w:pPr>
            <w:r>
              <w:rPr>
                <w:sz w:val="24"/>
              </w:rPr>
              <w:t>热喷涂 热喷涂设备的验收检查</w:t>
            </w:r>
          </w:p>
        </w:tc>
      </w:tr>
    </w:tbl>
    <w:p>
      <w:pPr>
        <w:spacing w:line="360" w:lineRule="auto"/>
        <w:ind w:firstLine="2880" w:firstLineChars="1200"/>
        <w:jc w:val="left"/>
        <w:rPr>
          <w:sz w:val="24"/>
        </w:rPr>
      </w:pPr>
      <w:r>
        <w:rPr>
          <w:sz w:val="24"/>
        </w:rPr>
        <w:t>相关生产厂商标准。</w:t>
      </w:r>
    </w:p>
    <w:p>
      <w:pPr>
        <w:spacing w:line="360" w:lineRule="auto"/>
        <w:rPr>
          <w:b/>
          <w:sz w:val="32"/>
          <w:szCs w:val="32"/>
        </w:rPr>
      </w:pPr>
      <w:r>
        <w:rPr>
          <w:b/>
          <w:sz w:val="32"/>
          <w:szCs w:val="32"/>
        </w:rPr>
        <w:t>三、工程概况</w:t>
      </w:r>
    </w:p>
    <w:p>
      <w:pPr>
        <w:spacing w:line="360" w:lineRule="auto"/>
        <w:ind w:firstLine="480" w:firstLineChars="200"/>
        <w:rPr>
          <w:sz w:val="24"/>
          <w:szCs w:val="24"/>
        </w:rPr>
      </w:pPr>
      <w:r>
        <w:rPr>
          <w:sz w:val="24"/>
          <w:szCs w:val="24"/>
        </w:rPr>
        <w:t>华能金陵电厂燃煤机组为1030MW 燃煤汽轮发电机组，其锅炉为哈尔滨锅炉厂有限责任公司设计制造的超超临界参数变压垂直管圈直流炉,一次再热、平衡通风、露天布置、固态排渣、全钢构架、全悬吊结构Π型锅炉。设计煤种为神府、东胜烟煤、校核煤种为晋北烟煤，目前，主要燃烧的煤种为华能优及印尼煤，略有偏离设计值。</w:t>
      </w:r>
    </w:p>
    <w:p>
      <w:pPr>
        <w:spacing w:line="360" w:lineRule="auto"/>
        <w:ind w:firstLine="480" w:firstLineChars="200"/>
        <w:rPr>
          <w:sz w:val="24"/>
          <w:szCs w:val="24"/>
        </w:rPr>
      </w:pPr>
      <w:r>
        <w:rPr>
          <w:sz w:val="24"/>
          <w:szCs w:val="24"/>
        </w:rPr>
        <w:t>本次</w:t>
      </w:r>
      <w:r>
        <w:rPr>
          <w:rFonts w:hint="eastAsia"/>
          <w:sz w:val="24"/>
          <w:szCs w:val="24"/>
        </w:rPr>
        <w:t>锅炉检修</w:t>
      </w:r>
      <w:r>
        <w:rPr>
          <w:sz w:val="24"/>
          <w:szCs w:val="24"/>
        </w:rPr>
        <w:t>中，将</w:t>
      </w:r>
      <w:r>
        <w:rPr>
          <w:rFonts w:hint="eastAsia"/>
          <w:sz w:val="24"/>
          <w:szCs w:val="24"/>
        </w:rPr>
        <w:t>对炉膛吹灰器附近</w:t>
      </w:r>
      <w:r>
        <w:rPr>
          <w:sz w:val="24"/>
          <w:szCs w:val="24"/>
        </w:rPr>
        <w:t>水冷壁管</w:t>
      </w:r>
      <w:r>
        <w:rPr>
          <w:rFonts w:hint="eastAsia"/>
          <w:sz w:val="24"/>
          <w:szCs w:val="24"/>
        </w:rPr>
        <w:t>、折焰角水冷壁、三过吹灰通道两侧管、四过吹灰通道两侧管进行</w:t>
      </w:r>
      <w:r>
        <w:rPr>
          <w:sz w:val="24"/>
          <w:szCs w:val="24"/>
        </w:rPr>
        <w:t>防高温腐蚀</w:t>
      </w:r>
      <w:r>
        <w:rPr>
          <w:rFonts w:hint="eastAsia"/>
          <w:sz w:val="24"/>
          <w:szCs w:val="24"/>
        </w:rPr>
        <w:t>及防磨</w:t>
      </w:r>
      <w:r>
        <w:rPr>
          <w:sz w:val="24"/>
          <w:szCs w:val="24"/>
        </w:rPr>
        <w:t>超音速电弧喷涂。</w:t>
      </w:r>
    </w:p>
    <w:p>
      <w:pPr>
        <w:spacing w:line="360" w:lineRule="auto"/>
        <w:rPr>
          <w:b/>
          <w:spacing w:val="6"/>
          <w:sz w:val="32"/>
          <w:szCs w:val="32"/>
        </w:rPr>
      </w:pPr>
      <w:r>
        <w:rPr>
          <w:b/>
          <w:sz w:val="32"/>
          <w:szCs w:val="32"/>
        </w:rPr>
        <w:t>四、工程内容</w:t>
      </w:r>
    </w:p>
    <w:p>
      <w:pPr>
        <w:spacing w:line="360" w:lineRule="auto"/>
        <w:ind w:firstLine="480" w:firstLineChars="200"/>
        <w:rPr>
          <w:sz w:val="24"/>
          <w:szCs w:val="24"/>
        </w:rPr>
      </w:pPr>
      <w:r>
        <w:rPr>
          <w:sz w:val="24"/>
          <w:szCs w:val="24"/>
        </w:rPr>
        <w:t>1、投标方为招标方2023年锅炉水冷壁防高温腐蚀喷涂提供如下具体服务：</w:t>
      </w:r>
    </w:p>
    <w:p>
      <w:pPr>
        <w:spacing w:line="360" w:lineRule="auto"/>
        <w:ind w:firstLine="480" w:firstLineChars="200"/>
        <w:rPr>
          <w:sz w:val="24"/>
          <w:szCs w:val="24"/>
        </w:rPr>
      </w:pPr>
      <w:r>
        <w:rPr>
          <w:sz w:val="24"/>
          <w:szCs w:val="24"/>
        </w:rPr>
        <w:t>2、喷涂区域</w:t>
      </w:r>
    </w:p>
    <w:p>
      <w:pPr>
        <w:spacing w:line="360" w:lineRule="auto"/>
        <w:ind w:firstLine="480" w:firstLineChars="200"/>
        <w:rPr>
          <w:sz w:val="24"/>
        </w:rPr>
      </w:pPr>
      <w:r>
        <w:rPr>
          <w:sz w:val="24"/>
          <w:szCs w:val="24"/>
        </w:rPr>
        <w:t xml:space="preserve">2.1 </w:t>
      </w:r>
      <w:r>
        <w:rPr>
          <w:rFonts w:hint="eastAsia"/>
          <w:sz w:val="24"/>
          <w:szCs w:val="24"/>
        </w:rPr>
        <w:t xml:space="preserve"> </w:t>
      </w:r>
      <w:r>
        <w:rPr>
          <w:sz w:val="24"/>
          <w:szCs w:val="24"/>
          <w:shd w:val="pct10" w:color="auto" w:fill="FFFFFF"/>
        </w:rPr>
        <w:t>锅炉</w:t>
      </w:r>
      <w:r>
        <w:rPr>
          <w:rFonts w:hint="eastAsia"/>
          <w:sz w:val="24"/>
          <w:szCs w:val="22"/>
          <w:shd w:val="pct10" w:color="auto" w:fill="FFFFFF"/>
        </w:rPr>
        <w:t>炉膛吹灰器附近</w:t>
      </w:r>
      <w:r>
        <w:rPr>
          <w:sz w:val="24"/>
          <w:szCs w:val="22"/>
          <w:shd w:val="pct10" w:color="auto" w:fill="FFFFFF"/>
        </w:rPr>
        <w:t>水冷壁管</w:t>
      </w:r>
      <w:r>
        <w:rPr>
          <w:rFonts w:hint="eastAsia"/>
          <w:sz w:val="24"/>
          <w:szCs w:val="22"/>
          <w:shd w:val="pct10" w:color="auto" w:fill="FFFFFF"/>
        </w:rPr>
        <w:t>、折焰角水冷壁、三过吹灰通道两侧管、四过吹灰通道两侧管拟</w:t>
      </w:r>
      <w:r>
        <w:rPr>
          <w:sz w:val="24"/>
          <w:shd w:val="pct10" w:color="auto" w:fill="FFFFFF"/>
        </w:rPr>
        <w:t>为本次喷涂部位</w:t>
      </w:r>
      <w:r>
        <w:rPr>
          <w:sz w:val="24"/>
        </w:rPr>
        <w:t>，</w:t>
      </w:r>
      <w:r>
        <w:rPr>
          <w:rFonts w:hint="eastAsia"/>
          <w:sz w:val="24"/>
        </w:rPr>
        <w:t>具体部位根据现场检查情况最终确定，</w:t>
      </w:r>
      <w:r>
        <w:rPr>
          <w:sz w:val="24"/>
        </w:rPr>
        <w:t>结算</w:t>
      </w:r>
      <w:r>
        <w:rPr>
          <w:rFonts w:hint="eastAsia"/>
          <w:sz w:val="24"/>
        </w:rPr>
        <w:t>将</w:t>
      </w:r>
      <w:r>
        <w:rPr>
          <w:sz w:val="24"/>
        </w:rPr>
        <w:t>根据实际喷涂面积按投标单价</w:t>
      </w:r>
      <w:r>
        <w:rPr>
          <w:rFonts w:hint="eastAsia"/>
          <w:sz w:val="24"/>
        </w:rPr>
        <w:t>办理</w:t>
      </w:r>
      <w:r>
        <w:rPr>
          <w:sz w:val="24"/>
        </w:rPr>
        <w:t>。</w:t>
      </w:r>
    </w:p>
    <w:p>
      <w:pPr>
        <w:spacing w:line="360" w:lineRule="auto"/>
        <w:ind w:firstLine="480" w:firstLineChars="200"/>
        <w:rPr>
          <w:sz w:val="24"/>
          <w:szCs w:val="24"/>
        </w:rPr>
      </w:pPr>
      <w:r>
        <w:rPr>
          <w:sz w:val="24"/>
          <w:szCs w:val="24"/>
        </w:rPr>
        <w:t>3 、喷涂面积及计算方法</w:t>
      </w:r>
    </w:p>
    <w:p>
      <w:pPr>
        <w:spacing w:line="360" w:lineRule="auto"/>
        <w:ind w:firstLine="480" w:firstLineChars="200"/>
        <w:rPr>
          <w:sz w:val="24"/>
          <w:szCs w:val="24"/>
        </w:rPr>
      </w:pPr>
      <w:r>
        <w:rPr>
          <w:sz w:val="24"/>
          <w:szCs w:val="24"/>
        </w:rPr>
        <w:t>3.1本次招标预计施工总面积</w:t>
      </w:r>
      <w:r>
        <w:rPr>
          <w:rFonts w:hint="eastAsia"/>
          <w:sz w:val="24"/>
          <w:szCs w:val="24"/>
          <w:shd w:val="pct10" w:color="auto" w:fill="FFFFFF"/>
        </w:rPr>
        <w:t>预计为542</w:t>
      </w:r>
      <w:r>
        <w:rPr>
          <w:sz w:val="24"/>
          <w:shd w:val="pct10" w:color="auto" w:fill="FFFFFF"/>
        </w:rPr>
        <w:t>平方米</w:t>
      </w:r>
      <w:r>
        <w:rPr>
          <w:rFonts w:hint="eastAsia"/>
          <w:sz w:val="24"/>
        </w:rPr>
        <w:t>，</w:t>
      </w:r>
      <w:r>
        <w:rPr>
          <w:sz w:val="24"/>
        </w:rPr>
        <w:t>投标总价暂以此计算</w:t>
      </w:r>
      <w:r>
        <w:rPr>
          <w:rFonts w:hint="eastAsia"/>
          <w:sz w:val="24"/>
        </w:rPr>
        <w:t>，</w:t>
      </w:r>
      <w:r>
        <w:rPr>
          <w:sz w:val="24"/>
          <w:szCs w:val="24"/>
        </w:rPr>
        <w:t xml:space="preserve">最终面积确认由招标方相关部门人员共同签字确认。 </w:t>
      </w:r>
    </w:p>
    <w:p>
      <w:pPr>
        <w:spacing w:line="360" w:lineRule="auto"/>
        <w:ind w:firstLine="480" w:firstLineChars="200"/>
        <w:rPr>
          <w:sz w:val="24"/>
          <w:szCs w:val="24"/>
        </w:rPr>
      </w:pPr>
      <w:r>
        <w:rPr>
          <w:rFonts w:hint="eastAsia"/>
          <w:sz w:val="24"/>
          <w:szCs w:val="24"/>
        </w:rPr>
        <w:t>初步按如下面积分布：（</w:t>
      </w:r>
      <w:r>
        <w:rPr>
          <w:rFonts w:hint="eastAsia"/>
          <w:sz w:val="24"/>
        </w:rPr>
        <w:t>具体部位根据现场检查情况最终确定</w:t>
      </w:r>
      <w:r>
        <w:rPr>
          <w:rFonts w:hint="eastAsia"/>
          <w:sz w:val="24"/>
          <w:szCs w:val="24"/>
        </w:rPr>
        <w:t>）</w:t>
      </w:r>
    </w:p>
    <w:tbl>
      <w:tblPr>
        <w:tblStyle w:val="15"/>
        <w:tblW w:w="73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111"/>
        <w:gridCol w:w="690"/>
        <w:gridCol w:w="2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6" w:hRule="atLeast"/>
          <w:jc w:val="center"/>
        </w:trPr>
        <w:tc>
          <w:tcPr>
            <w:tcW w:w="4111"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三过吹灰通道两侧管防磨喷涂</w:t>
            </w:r>
          </w:p>
        </w:tc>
        <w:tc>
          <w:tcPr>
            <w:tcW w:w="690"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39㎡</w:t>
            </w:r>
          </w:p>
        </w:tc>
        <w:tc>
          <w:tcPr>
            <w:tcW w:w="2562" w:type="dxa"/>
            <w:shd w:val="clear" w:color="auto" w:fill="auto"/>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防磨防腐蚀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6" w:hRule="atLeast"/>
          <w:jc w:val="center"/>
        </w:trPr>
        <w:tc>
          <w:tcPr>
            <w:tcW w:w="4111"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四过吹灰通道两侧管防磨喷涂</w:t>
            </w:r>
          </w:p>
        </w:tc>
        <w:tc>
          <w:tcPr>
            <w:tcW w:w="690"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63㎡</w:t>
            </w:r>
          </w:p>
        </w:tc>
        <w:tc>
          <w:tcPr>
            <w:tcW w:w="2562" w:type="dxa"/>
            <w:shd w:val="clear" w:color="auto" w:fill="auto"/>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防磨防腐蚀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6" w:hRule="atLeast"/>
          <w:jc w:val="center"/>
        </w:trPr>
        <w:tc>
          <w:tcPr>
            <w:tcW w:w="4111"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炉膛吹灰器附近水冷壁管喷涂</w:t>
            </w:r>
          </w:p>
        </w:tc>
        <w:tc>
          <w:tcPr>
            <w:tcW w:w="690"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350㎡</w:t>
            </w:r>
          </w:p>
        </w:tc>
        <w:tc>
          <w:tcPr>
            <w:tcW w:w="2562" w:type="dxa"/>
            <w:shd w:val="clear" w:color="auto" w:fill="auto"/>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侧重与防磨防腐蚀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6" w:hRule="atLeast"/>
          <w:jc w:val="center"/>
        </w:trPr>
        <w:tc>
          <w:tcPr>
            <w:tcW w:w="4111"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折焰角水冷壁喷涂</w:t>
            </w:r>
          </w:p>
        </w:tc>
        <w:tc>
          <w:tcPr>
            <w:tcW w:w="690" w:type="dxa"/>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90㎡</w:t>
            </w:r>
          </w:p>
        </w:tc>
        <w:tc>
          <w:tcPr>
            <w:tcW w:w="2562" w:type="dxa"/>
            <w:shd w:val="clear" w:color="auto" w:fill="auto"/>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侧重与防磨</w:t>
            </w:r>
          </w:p>
        </w:tc>
      </w:tr>
    </w:tbl>
    <w:p>
      <w:pPr>
        <w:spacing w:line="360" w:lineRule="auto"/>
        <w:ind w:firstLine="480" w:firstLineChars="200"/>
        <w:rPr>
          <w:sz w:val="24"/>
          <w:szCs w:val="24"/>
        </w:rPr>
      </w:pPr>
      <w:r>
        <w:rPr>
          <w:sz w:val="24"/>
          <w:szCs w:val="24"/>
        </w:rPr>
        <w:t>3.2面积计算方法：鳍片面积+</w:t>
      </w:r>
      <w:r>
        <w:rPr>
          <w:rFonts w:hint="eastAsia"/>
          <w:sz w:val="24"/>
          <w:szCs w:val="24"/>
        </w:rPr>
        <w:t>受热面</w:t>
      </w:r>
      <w:r>
        <w:rPr>
          <w:sz w:val="24"/>
          <w:szCs w:val="24"/>
        </w:rPr>
        <w:t>壁管展开面积。</w:t>
      </w:r>
    </w:p>
    <w:p>
      <w:pPr>
        <w:adjustRightInd w:val="0"/>
        <w:snapToGrid w:val="0"/>
        <w:spacing w:line="360" w:lineRule="auto"/>
        <w:ind w:firstLine="480" w:firstLineChars="200"/>
        <w:rPr>
          <w:sz w:val="24"/>
          <w:szCs w:val="24"/>
        </w:rPr>
      </w:pPr>
      <w:r>
        <w:rPr>
          <w:sz w:val="24"/>
          <w:szCs w:val="24"/>
        </w:rPr>
        <w:t>4、本项目招标范围：</w:t>
      </w:r>
    </w:p>
    <w:p>
      <w:pPr>
        <w:adjustRightInd w:val="0"/>
        <w:snapToGrid w:val="0"/>
        <w:spacing w:line="360" w:lineRule="auto"/>
        <w:ind w:firstLine="480" w:firstLineChars="200"/>
        <w:rPr>
          <w:sz w:val="24"/>
          <w:szCs w:val="24"/>
        </w:rPr>
      </w:pPr>
      <w:r>
        <w:rPr>
          <w:sz w:val="24"/>
          <w:szCs w:val="24"/>
        </w:rPr>
        <w:t>本工程包含喷涂工作的所有（主、辅）材料、施工及施工安全措施费用，包含但不限于以下工作内容：</w:t>
      </w:r>
    </w:p>
    <w:p>
      <w:pPr>
        <w:pStyle w:val="8"/>
        <w:spacing w:line="360" w:lineRule="auto"/>
        <w:ind w:left="0" w:leftChars="0" w:firstLine="480" w:firstLineChars="200"/>
        <w:rPr>
          <w:sz w:val="24"/>
          <w:szCs w:val="24"/>
        </w:rPr>
      </w:pPr>
      <w:r>
        <w:rPr>
          <w:sz w:val="24"/>
          <w:szCs w:val="24"/>
        </w:rPr>
        <w:t>4.1施工组织、喷涂工艺、安全文明生产等相关措施编制。</w:t>
      </w:r>
    </w:p>
    <w:p>
      <w:pPr>
        <w:pStyle w:val="8"/>
        <w:spacing w:line="360" w:lineRule="auto"/>
        <w:ind w:left="0" w:leftChars="0" w:firstLine="480" w:firstLineChars="200"/>
        <w:rPr>
          <w:sz w:val="24"/>
          <w:szCs w:val="24"/>
        </w:rPr>
      </w:pPr>
      <w:r>
        <w:rPr>
          <w:sz w:val="24"/>
          <w:szCs w:val="24"/>
        </w:rPr>
        <w:t>4.2喷涂施工机具(含空气制备等)准备、安装、调试、运行操作和维护。</w:t>
      </w:r>
    </w:p>
    <w:p>
      <w:pPr>
        <w:pStyle w:val="8"/>
        <w:spacing w:line="360" w:lineRule="auto"/>
        <w:ind w:left="0" w:leftChars="0" w:firstLine="480" w:firstLineChars="200"/>
        <w:rPr>
          <w:sz w:val="24"/>
          <w:szCs w:val="24"/>
        </w:rPr>
      </w:pPr>
      <w:r>
        <w:rPr>
          <w:sz w:val="24"/>
          <w:szCs w:val="24"/>
        </w:rPr>
        <w:t>4.3喷涂施工用防护用具采购、保管。</w:t>
      </w:r>
    </w:p>
    <w:p>
      <w:pPr>
        <w:pStyle w:val="8"/>
        <w:spacing w:line="360" w:lineRule="auto"/>
        <w:ind w:left="0" w:leftChars="0" w:firstLine="480" w:firstLineChars="200"/>
        <w:rPr>
          <w:sz w:val="24"/>
          <w:szCs w:val="24"/>
        </w:rPr>
      </w:pPr>
      <w:r>
        <w:rPr>
          <w:sz w:val="24"/>
          <w:szCs w:val="24"/>
        </w:rPr>
        <w:t>4.4喷涂施工用检验用仪器、仪表准备、保管及使用。</w:t>
      </w:r>
    </w:p>
    <w:p>
      <w:pPr>
        <w:pStyle w:val="8"/>
        <w:spacing w:line="360" w:lineRule="auto"/>
        <w:ind w:left="0" w:leftChars="0" w:firstLine="480" w:firstLineChars="200"/>
        <w:rPr>
          <w:sz w:val="24"/>
          <w:szCs w:val="24"/>
        </w:rPr>
      </w:pPr>
      <w:r>
        <w:rPr>
          <w:sz w:val="24"/>
          <w:szCs w:val="24"/>
        </w:rPr>
        <w:t xml:space="preserve">4.4招标方仅指定电源搭接点，中标方负责施工安全电源（含电缆、临时照明等）准备、敷设及拆除。 </w:t>
      </w:r>
    </w:p>
    <w:p>
      <w:pPr>
        <w:pStyle w:val="8"/>
        <w:spacing w:line="360" w:lineRule="auto"/>
        <w:ind w:left="0" w:leftChars="0" w:firstLine="480" w:firstLineChars="200"/>
        <w:rPr>
          <w:sz w:val="24"/>
          <w:szCs w:val="24"/>
        </w:rPr>
      </w:pPr>
      <w:r>
        <w:rPr>
          <w:sz w:val="24"/>
          <w:szCs w:val="24"/>
        </w:rPr>
        <w:t>4.5喷涂施工用全部材料(表面处理用砂、涂装材料等)采购、运输及保管。</w:t>
      </w:r>
    </w:p>
    <w:p>
      <w:pPr>
        <w:pStyle w:val="8"/>
        <w:spacing w:line="360" w:lineRule="auto"/>
        <w:ind w:left="0" w:leftChars="0" w:firstLine="480" w:firstLineChars="200"/>
        <w:rPr>
          <w:sz w:val="24"/>
          <w:szCs w:val="24"/>
        </w:rPr>
      </w:pPr>
      <w:r>
        <w:rPr>
          <w:sz w:val="24"/>
          <w:szCs w:val="24"/>
        </w:rPr>
        <w:t>4.6施工作业人员施工前培训。</w:t>
      </w:r>
    </w:p>
    <w:p>
      <w:pPr>
        <w:pStyle w:val="8"/>
        <w:spacing w:line="360" w:lineRule="auto"/>
        <w:ind w:left="0" w:leftChars="0" w:firstLine="480" w:firstLineChars="200"/>
        <w:rPr>
          <w:sz w:val="24"/>
          <w:szCs w:val="24"/>
        </w:rPr>
      </w:pPr>
      <w:r>
        <w:rPr>
          <w:sz w:val="24"/>
          <w:szCs w:val="24"/>
        </w:rPr>
        <w:t>4.7施工作业人员安全教育培训。</w:t>
      </w:r>
    </w:p>
    <w:p>
      <w:pPr>
        <w:pStyle w:val="8"/>
        <w:spacing w:line="360" w:lineRule="auto"/>
        <w:ind w:left="0" w:leftChars="0" w:firstLine="480" w:firstLineChars="200"/>
        <w:rPr>
          <w:sz w:val="24"/>
          <w:szCs w:val="24"/>
        </w:rPr>
      </w:pPr>
      <w:r>
        <w:rPr>
          <w:sz w:val="24"/>
          <w:szCs w:val="24"/>
        </w:rPr>
        <w:t>4.8喷涂材料取样(含施工期间随机取样)送检配合及试验费用。</w:t>
      </w:r>
    </w:p>
    <w:p>
      <w:pPr>
        <w:pStyle w:val="8"/>
        <w:spacing w:line="360" w:lineRule="auto"/>
        <w:ind w:left="0" w:leftChars="0" w:firstLine="480" w:firstLineChars="200"/>
        <w:rPr>
          <w:sz w:val="24"/>
          <w:szCs w:val="24"/>
        </w:rPr>
      </w:pPr>
      <w:r>
        <w:rPr>
          <w:sz w:val="24"/>
          <w:szCs w:val="24"/>
        </w:rPr>
        <w:t>4.9喷涂施工前的试样试件准备、试样制作及试验费用。</w:t>
      </w:r>
    </w:p>
    <w:p>
      <w:pPr>
        <w:pStyle w:val="8"/>
        <w:spacing w:line="360" w:lineRule="auto"/>
        <w:ind w:left="0" w:leftChars="0" w:firstLine="480" w:firstLineChars="200"/>
        <w:rPr>
          <w:sz w:val="24"/>
          <w:szCs w:val="24"/>
        </w:rPr>
      </w:pPr>
      <w:r>
        <w:rPr>
          <w:sz w:val="24"/>
          <w:szCs w:val="24"/>
        </w:rPr>
        <w:t>4.10基体表面预处理施工及检验。</w:t>
      </w:r>
    </w:p>
    <w:p>
      <w:pPr>
        <w:pStyle w:val="8"/>
        <w:spacing w:line="360" w:lineRule="auto"/>
        <w:ind w:left="0" w:leftChars="0" w:firstLine="480" w:firstLineChars="200"/>
        <w:rPr>
          <w:sz w:val="24"/>
          <w:szCs w:val="24"/>
        </w:rPr>
      </w:pPr>
      <w:r>
        <w:rPr>
          <w:sz w:val="24"/>
          <w:szCs w:val="24"/>
        </w:rPr>
        <w:t>4.11材料喷涂施工及检验。</w:t>
      </w:r>
    </w:p>
    <w:p>
      <w:pPr>
        <w:pStyle w:val="8"/>
        <w:spacing w:line="360" w:lineRule="auto"/>
        <w:ind w:left="0" w:leftChars="0" w:firstLine="480" w:firstLineChars="200"/>
        <w:rPr>
          <w:sz w:val="24"/>
          <w:szCs w:val="24"/>
        </w:rPr>
      </w:pPr>
      <w:r>
        <w:rPr>
          <w:sz w:val="24"/>
          <w:szCs w:val="24"/>
        </w:rPr>
        <w:t>4.12喷涂后封孔剂涂装施工及检验。</w:t>
      </w:r>
    </w:p>
    <w:p>
      <w:pPr>
        <w:pStyle w:val="8"/>
        <w:spacing w:line="360" w:lineRule="auto"/>
        <w:ind w:left="0" w:leftChars="0" w:firstLine="480" w:firstLineChars="200"/>
        <w:rPr>
          <w:sz w:val="24"/>
          <w:szCs w:val="24"/>
        </w:rPr>
      </w:pPr>
      <w:r>
        <w:rPr>
          <w:sz w:val="24"/>
          <w:szCs w:val="24"/>
        </w:rPr>
        <w:t>4.13招标方随机质量检查配合。</w:t>
      </w:r>
    </w:p>
    <w:p>
      <w:pPr>
        <w:pStyle w:val="8"/>
        <w:spacing w:line="360" w:lineRule="auto"/>
        <w:ind w:left="0" w:leftChars="0" w:firstLine="480" w:firstLineChars="200"/>
        <w:rPr>
          <w:sz w:val="24"/>
          <w:szCs w:val="24"/>
        </w:rPr>
      </w:pPr>
      <w:r>
        <w:rPr>
          <w:sz w:val="24"/>
          <w:szCs w:val="24"/>
        </w:rPr>
        <w:t>4.14施工废弃物处理；场地达到日清要求。</w:t>
      </w:r>
    </w:p>
    <w:p>
      <w:pPr>
        <w:pStyle w:val="8"/>
        <w:spacing w:line="360" w:lineRule="auto"/>
        <w:ind w:left="0" w:leftChars="0" w:firstLine="480" w:firstLineChars="200"/>
        <w:rPr>
          <w:sz w:val="24"/>
          <w:szCs w:val="24"/>
        </w:rPr>
      </w:pPr>
      <w:r>
        <w:rPr>
          <w:sz w:val="24"/>
          <w:szCs w:val="24"/>
        </w:rPr>
        <w:t>4.15施工质量记录文件填写、竣工资料编制，以及资料印制。</w:t>
      </w:r>
    </w:p>
    <w:p>
      <w:pPr>
        <w:pStyle w:val="8"/>
        <w:spacing w:line="360" w:lineRule="auto"/>
        <w:ind w:left="0" w:leftChars="0" w:firstLine="480" w:firstLineChars="200"/>
        <w:rPr>
          <w:sz w:val="24"/>
          <w:szCs w:val="24"/>
        </w:rPr>
      </w:pPr>
      <w:r>
        <w:rPr>
          <w:sz w:val="24"/>
          <w:szCs w:val="24"/>
        </w:rPr>
        <w:t>4.16竣工验收。</w:t>
      </w:r>
    </w:p>
    <w:p>
      <w:pPr>
        <w:pStyle w:val="8"/>
        <w:spacing w:line="360" w:lineRule="auto"/>
        <w:ind w:left="0" w:leftChars="0" w:firstLine="480" w:firstLineChars="200"/>
        <w:rPr>
          <w:sz w:val="24"/>
          <w:szCs w:val="24"/>
        </w:rPr>
      </w:pPr>
      <w:r>
        <w:rPr>
          <w:sz w:val="24"/>
          <w:szCs w:val="24"/>
        </w:rPr>
        <w:t>4.17售后服务。</w:t>
      </w:r>
    </w:p>
    <w:p>
      <w:pPr>
        <w:pStyle w:val="8"/>
        <w:spacing w:line="360" w:lineRule="auto"/>
        <w:ind w:left="0" w:leftChars="0" w:firstLine="480" w:firstLineChars="200"/>
        <w:rPr>
          <w:sz w:val="24"/>
          <w:szCs w:val="24"/>
        </w:rPr>
      </w:pPr>
      <w:r>
        <w:rPr>
          <w:sz w:val="24"/>
          <w:szCs w:val="24"/>
        </w:rPr>
        <w:t>4.18其他与喷涂作业相关的事项。</w:t>
      </w:r>
    </w:p>
    <w:p>
      <w:pPr>
        <w:spacing w:line="360" w:lineRule="auto"/>
        <w:ind w:left="426"/>
        <w:rPr>
          <w:sz w:val="24"/>
          <w:szCs w:val="24"/>
        </w:rPr>
      </w:pPr>
      <w:r>
        <w:rPr>
          <w:sz w:val="24"/>
          <w:szCs w:val="24"/>
        </w:rPr>
        <w:t>4.19喷涂区域管子规格材质。</w:t>
      </w:r>
    </w:p>
    <w:tbl>
      <w:tblPr>
        <w:tblStyle w:val="15"/>
        <w:tblW w:w="8461"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83"/>
        <w:gridCol w:w="1682"/>
        <w:gridCol w:w="1684"/>
        <w:gridCol w:w="1684"/>
        <w:gridCol w:w="1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683" w:type="dxa"/>
            <w:vAlign w:val="center"/>
          </w:tcPr>
          <w:p>
            <w:pPr>
              <w:spacing w:line="360" w:lineRule="auto"/>
              <w:rPr>
                <w:sz w:val="24"/>
                <w:szCs w:val="24"/>
              </w:rPr>
            </w:pPr>
            <w:r>
              <w:rPr>
                <w:sz w:val="24"/>
                <w:szCs w:val="24"/>
              </w:rPr>
              <w:t>部件名称</w:t>
            </w:r>
          </w:p>
        </w:tc>
        <w:tc>
          <w:tcPr>
            <w:tcW w:w="1682" w:type="dxa"/>
            <w:vAlign w:val="center"/>
          </w:tcPr>
          <w:p>
            <w:pPr>
              <w:spacing w:line="360" w:lineRule="auto"/>
              <w:rPr>
                <w:sz w:val="24"/>
                <w:szCs w:val="24"/>
              </w:rPr>
            </w:pPr>
            <w:r>
              <w:rPr>
                <w:sz w:val="24"/>
                <w:szCs w:val="24"/>
              </w:rPr>
              <w:t>材质</w:t>
            </w:r>
          </w:p>
        </w:tc>
        <w:tc>
          <w:tcPr>
            <w:tcW w:w="1684" w:type="dxa"/>
            <w:vAlign w:val="center"/>
          </w:tcPr>
          <w:p>
            <w:pPr>
              <w:spacing w:line="360" w:lineRule="auto"/>
              <w:rPr>
                <w:sz w:val="24"/>
                <w:szCs w:val="24"/>
              </w:rPr>
            </w:pPr>
            <w:r>
              <w:rPr>
                <w:sz w:val="24"/>
                <w:szCs w:val="24"/>
              </w:rPr>
              <w:t>规格</w:t>
            </w:r>
          </w:p>
        </w:tc>
        <w:tc>
          <w:tcPr>
            <w:tcW w:w="1684" w:type="dxa"/>
            <w:vAlign w:val="center"/>
          </w:tcPr>
          <w:p>
            <w:pPr>
              <w:spacing w:line="360" w:lineRule="auto"/>
              <w:rPr>
                <w:sz w:val="24"/>
                <w:szCs w:val="24"/>
              </w:rPr>
            </w:pPr>
            <w:r>
              <w:rPr>
                <w:sz w:val="24"/>
                <w:szCs w:val="24"/>
              </w:rPr>
              <w:t>蒸汽温度</w:t>
            </w:r>
          </w:p>
        </w:tc>
        <w:tc>
          <w:tcPr>
            <w:tcW w:w="1728" w:type="dxa"/>
            <w:vAlign w:val="center"/>
          </w:tcPr>
          <w:p>
            <w:pPr>
              <w:spacing w:line="360" w:lineRule="auto"/>
              <w:rPr>
                <w:sz w:val="24"/>
                <w:szCs w:val="24"/>
              </w:rPr>
            </w:pPr>
            <w:r>
              <w:rPr>
                <w:sz w:val="24"/>
                <w:szCs w:val="24"/>
              </w:rPr>
              <w:t>管壁温度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683" w:type="dxa"/>
            <w:vAlign w:val="center"/>
          </w:tcPr>
          <w:p>
            <w:pPr>
              <w:spacing w:line="360" w:lineRule="auto"/>
              <w:rPr>
                <w:sz w:val="24"/>
                <w:szCs w:val="24"/>
              </w:rPr>
            </w:pPr>
            <w:r>
              <w:rPr>
                <w:sz w:val="24"/>
                <w:szCs w:val="24"/>
              </w:rPr>
              <w:t>水冷壁</w:t>
            </w:r>
          </w:p>
        </w:tc>
        <w:tc>
          <w:tcPr>
            <w:tcW w:w="1682" w:type="dxa"/>
            <w:vAlign w:val="center"/>
          </w:tcPr>
          <w:p>
            <w:pPr>
              <w:spacing w:line="360" w:lineRule="auto"/>
              <w:rPr>
                <w:sz w:val="24"/>
                <w:szCs w:val="24"/>
              </w:rPr>
            </w:pPr>
            <w:r>
              <w:rPr>
                <w:sz w:val="24"/>
                <w:szCs w:val="24"/>
              </w:rPr>
              <w:t>15CrMoG</w:t>
            </w:r>
          </w:p>
        </w:tc>
        <w:tc>
          <w:tcPr>
            <w:tcW w:w="1684" w:type="dxa"/>
            <w:vAlign w:val="center"/>
          </w:tcPr>
          <w:p>
            <w:pPr>
              <w:spacing w:line="360" w:lineRule="auto"/>
              <w:rPr>
                <w:sz w:val="24"/>
                <w:szCs w:val="24"/>
              </w:rPr>
            </w:pPr>
            <w:r>
              <w:rPr>
                <w:sz w:val="24"/>
                <w:szCs w:val="24"/>
              </w:rPr>
              <w:t>Φ28.6×5.8</w:t>
            </w:r>
          </w:p>
        </w:tc>
        <w:tc>
          <w:tcPr>
            <w:tcW w:w="1684" w:type="dxa"/>
            <w:vAlign w:val="center"/>
          </w:tcPr>
          <w:p>
            <w:pPr>
              <w:spacing w:line="360" w:lineRule="auto"/>
              <w:rPr>
                <w:sz w:val="24"/>
                <w:szCs w:val="24"/>
              </w:rPr>
            </w:pPr>
            <w:r>
              <w:rPr>
                <w:sz w:val="24"/>
                <w:szCs w:val="24"/>
              </w:rPr>
              <w:t>402℃</w:t>
            </w:r>
          </w:p>
        </w:tc>
        <w:tc>
          <w:tcPr>
            <w:tcW w:w="1728" w:type="dxa"/>
            <w:vAlign w:val="center"/>
          </w:tcPr>
          <w:p>
            <w:pPr>
              <w:spacing w:line="360" w:lineRule="auto"/>
              <w:rPr>
                <w:sz w:val="24"/>
                <w:szCs w:val="24"/>
              </w:rPr>
            </w:pPr>
            <w:r>
              <w:rPr>
                <w:sz w:val="24"/>
                <w:szCs w:val="24"/>
              </w:rPr>
              <w:t>480℃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683" w:type="dxa"/>
            <w:vAlign w:val="center"/>
          </w:tcPr>
          <w:p>
            <w:pPr>
              <w:spacing w:line="360" w:lineRule="auto"/>
              <w:rPr>
                <w:sz w:val="24"/>
                <w:szCs w:val="24"/>
              </w:rPr>
            </w:pPr>
            <w:r>
              <w:rPr>
                <w:rFonts w:hint="eastAsia"/>
                <w:sz w:val="24"/>
                <w:szCs w:val="24"/>
              </w:rPr>
              <w:t>三级过热器管</w:t>
            </w:r>
          </w:p>
        </w:tc>
        <w:tc>
          <w:tcPr>
            <w:tcW w:w="1682" w:type="dxa"/>
            <w:vAlign w:val="center"/>
          </w:tcPr>
          <w:p>
            <w:pPr>
              <w:spacing w:line="360" w:lineRule="auto"/>
              <w:rPr>
                <w:sz w:val="24"/>
                <w:szCs w:val="24"/>
              </w:rPr>
            </w:pPr>
            <w:r>
              <w:rPr>
                <w:rFonts w:hint="eastAsia"/>
                <w:sz w:val="24"/>
                <w:szCs w:val="24"/>
              </w:rPr>
              <w:t>Sup304H</w:t>
            </w:r>
          </w:p>
        </w:tc>
        <w:tc>
          <w:tcPr>
            <w:tcW w:w="1684" w:type="dxa"/>
            <w:vAlign w:val="center"/>
          </w:tcPr>
          <w:p>
            <w:pPr>
              <w:spacing w:line="360" w:lineRule="auto"/>
              <w:rPr>
                <w:sz w:val="24"/>
                <w:szCs w:val="24"/>
              </w:rPr>
            </w:pPr>
            <w:r>
              <w:rPr>
                <w:sz w:val="24"/>
                <w:szCs w:val="24"/>
              </w:rPr>
              <w:t>Φ</w:t>
            </w:r>
            <w:r>
              <w:rPr>
                <w:rFonts w:hint="eastAsia"/>
                <w:sz w:val="24"/>
                <w:szCs w:val="24"/>
              </w:rPr>
              <w:t>51</w:t>
            </w:r>
            <w:r>
              <w:rPr>
                <w:sz w:val="24"/>
                <w:szCs w:val="24"/>
              </w:rPr>
              <w:t>×</w:t>
            </w:r>
            <w:r>
              <w:rPr>
                <w:rFonts w:hint="eastAsia"/>
                <w:sz w:val="24"/>
                <w:szCs w:val="24"/>
              </w:rPr>
              <w:t>9</w:t>
            </w:r>
          </w:p>
        </w:tc>
        <w:tc>
          <w:tcPr>
            <w:tcW w:w="1684" w:type="dxa"/>
            <w:vAlign w:val="center"/>
          </w:tcPr>
          <w:p>
            <w:pPr>
              <w:spacing w:line="360" w:lineRule="auto"/>
              <w:rPr>
                <w:sz w:val="24"/>
                <w:szCs w:val="24"/>
              </w:rPr>
            </w:pPr>
            <w:r>
              <w:rPr>
                <w:rFonts w:hint="eastAsia"/>
                <w:sz w:val="24"/>
                <w:szCs w:val="24"/>
              </w:rPr>
              <w:t>557</w:t>
            </w:r>
            <w:r>
              <w:rPr>
                <w:sz w:val="24"/>
                <w:szCs w:val="24"/>
              </w:rPr>
              <w:t>℃</w:t>
            </w:r>
          </w:p>
        </w:tc>
        <w:tc>
          <w:tcPr>
            <w:tcW w:w="1728" w:type="dxa"/>
            <w:vAlign w:val="center"/>
          </w:tcPr>
          <w:p>
            <w:pPr>
              <w:spacing w:line="360" w:lineRule="auto"/>
              <w:rPr>
                <w:sz w:val="24"/>
                <w:szCs w:val="24"/>
              </w:rPr>
            </w:pPr>
            <w:r>
              <w:rPr>
                <w:rFonts w:hint="eastAsia"/>
                <w:sz w:val="24"/>
                <w:szCs w:val="24"/>
              </w:rPr>
              <w:t>600</w:t>
            </w:r>
            <w:r>
              <w:rPr>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683" w:type="dxa"/>
            <w:vAlign w:val="center"/>
          </w:tcPr>
          <w:p>
            <w:pPr>
              <w:spacing w:line="360" w:lineRule="auto"/>
              <w:rPr>
                <w:sz w:val="24"/>
                <w:szCs w:val="24"/>
              </w:rPr>
            </w:pPr>
            <w:r>
              <w:rPr>
                <w:rFonts w:hint="eastAsia"/>
                <w:sz w:val="24"/>
                <w:szCs w:val="24"/>
              </w:rPr>
              <w:t>四级过热器管</w:t>
            </w:r>
          </w:p>
        </w:tc>
        <w:tc>
          <w:tcPr>
            <w:tcW w:w="1682" w:type="dxa"/>
            <w:vAlign w:val="center"/>
          </w:tcPr>
          <w:p>
            <w:pPr>
              <w:spacing w:line="360" w:lineRule="auto"/>
              <w:rPr>
                <w:sz w:val="24"/>
                <w:szCs w:val="24"/>
              </w:rPr>
            </w:pPr>
            <w:r>
              <w:rPr>
                <w:rFonts w:hint="eastAsia"/>
                <w:sz w:val="24"/>
                <w:szCs w:val="24"/>
              </w:rPr>
              <w:t>Sup304H</w:t>
            </w:r>
          </w:p>
        </w:tc>
        <w:tc>
          <w:tcPr>
            <w:tcW w:w="1684" w:type="dxa"/>
            <w:vAlign w:val="center"/>
          </w:tcPr>
          <w:p>
            <w:pPr>
              <w:spacing w:line="360" w:lineRule="auto"/>
              <w:rPr>
                <w:sz w:val="24"/>
                <w:szCs w:val="24"/>
              </w:rPr>
            </w:pPr>
            <w:r>
              <w:rPr>
                <w:sz w:val="24"/>
                <w:szCs w:val="24"/>
              </w:rPr>
              <w:t>Φ</w:t>
            </w:r>
            <w:r>
              <w:rPr>
                <w:rFonts w:hint="eastAsia"/>
                <w:sz w:val="24"/>
                <w:szCs w:val="24"/>
              </w:rPr>
              <w:t>44.5</w:t>
            </w:r>
            <w:r>
              <w:rPr>
                <w:sz w:val="24"/>
                <w:szCs w:val="24"/>
              </w:rPr>
              <w:t>×</w:t>
            </w:r>
            <w:r>
              <w:rPr>
                <w:rFonts w:hint="eastAsia"/>
                <w:sz w:val="24"/>
                <w:szCs w:val="24"/>
              </w:rPr>
              <w:t>9</w:t>
            </w:r>
          </w:p>
        </w:tc>
        <w:tc>
          <w:tcPr>
            <w:tcW w:w="1684" w:type="dxa"/>
            <w:vAlign w:val="center"/>
          </w:tcPr>
          <w:p>
            <w:pPr>
              <w:spacing w:line="360" w:lineRule="auto"/>
              <w:rPr>
                <w:sz w:val="24"/>
                <w:szCs w:val="24"/>
              </w:rPr>
            </w:pPr>
            <w:r>
              <w:rPr>
                <w:rFonts w:hint="eastAsia"/>
                <w:sz w:val="24"/>
                <w:szCs w:val="24"/>
              </w:rPr>
              <w:t>605</w:t>
            </w:r>
            <w:r>
              <w:rPr>
                <w:sz w:val="24"/>
                <w:szCs w:val="24"/>
              </w:rPr>
              <w:t>℃</w:t>
            </w:r>
          </w:p>
        </w:tc>
        <w:tc>
          <w:tcPr>
            <w:tcW w:w="1728" w:type="dxa"/>
            <w:vAlign w:val="center"/>
          </w:tcPr>
          <w:p>
            <w:pPr>
              <w:spacing w:line="360" w:lineRule="auto"/>
              <w:rPr>
                <w:sz w:val="24"/>
                <w:szCs w:val="24"/>
              </w:rPr>
            </w:pPr>
            <w:r>
              <w:rPr>
                <w:rFonts w:hint="eastAsia"/>
                <w:sz w:val="24"/>
                <w:szCs w:val="24"/>
              </w:rPr>
              <w:t>623</w:t>
            </w:r>
            <w:r>
              <w:rPr>
                <w:sz w:val="24"/>
                <w:szCs w:val="24"/>
              </w:rPr>
              <w:t>℃</w:t>
            </w:r>
          </w:p>
        </w:tc>
      </w:tr>
    </w:tbl>
    <w:p>
      <w:pPr>
        <w:pStyle w:val="8"/>
        <w:numPr>
          <w:ilvl w:val="0"/>
          <w:numId w:val="4"/>
        </w:numPr>
        <w:spacing w:line="360" w:lineRule="auto"/>
        <w:ind w:leftChars="0"/>
        <w:rPr>
          <w:b/>
          <w:sz w:val="32"/>
          <w:szCs w:val="32"/>
        </w:rPr>
      </w:pPr>
      <w:r>
        <w:rPr>
          <w:b/>
          <w:sz w:val="32"/>
          <w:szCs w:val="32"/>
        </w:rPr>
        <w:t>工程管理</w:t>
      </w:r>
    </w:p>
    <w:p>
      <w:pPr>
        <w:spacing w:line="360" w:lineRule="auto"/>
        <w:ind w:firstLine="600" w:firstLineChars="250"/>
        <w:rPr>
          <w:sz w:val="24"/>
          <w:szCs w:val="24"/>
        </w:rPr>
      </w:pPr>
      <w:r>
        <w:rPr>
          <w:sz w:val="24"/>
          <w:szCs w:val="24"/>
        </w:rPr>
        <w:t>1、招标方职责：</w:t>
      </w:r>
    </w:p>
    <w:p>
      <w:pPr>
        <w:widowControl/>
        <w:spacing w:line="360" w:lineRule="auto"/>
        <w:ind w:firstLine="720" w:firstLineChars="300"/>
        <w:jc w:val="left"/>
        <w:rPr>
          <w:color w:val="000000"/>
          <w:kern w:val="0"/>
          <w:sz w:val="24"/>
          <w:szCs w:val="24"/>
        </w:rPr>
      </w:pPr>
      <w:r>
        <w:rPr>
          <w:color w:val="000000"/>
          <w:sz w:val="24"/>
          <w:szCs w:val="24"/>
        </w:rPr>
        <w:t>1）招标方</w:t>
      </w:r>
      <w:r>
        <w:rPr>
          <w:color w:val="000000"/>
          <w:kern w:val="0"/>
          <w:sz w:val="24"/>
          <w:szCs w:val="24"/>
        </w:rPr>
        <w:t>负责协助投标方解决工程施工中应进行协调的问题。按合同规定的付款办法及时支付进度款。</w:t>
      </w:r>
    </w:p>
    <w:p>
      <w:pPr>
        <w:spacing w:line="360" w:lineRule="auto"/>
        <w:ind w:firstLine="720" w:firstLineChars="300"/>
        <w:rPr>
          <w:color w:val="000000"/>
          <w:kern w:val="0"/>
          <w:sz w:val="24"/>
          <w:szCs w:val="24"/>
        </w:rPr>
      </w:pPr>
      <w:r>
        <w:rPr>
          <w:color w:val="000000"/>
          <w:kern w:val="0"/>
          <w:sz w:val="24"/>
          <w:szCs w:val="24"/>
        </w:rPr>
        <w:t>2</w:t>
      </w:r>
      <w:r>
        <w:rPr>
          <w:color w:val="000000"/>
          <w:sz w:val="24"/>
          <w:szCs w:val="24"/>
        </w:rPr>
        <w:t>）</w:t>
      </w:r>
      <w:r>
        <w:rPr>
          <w:color w:val="000000"/>
          <w:kern w:val="0"/>
          <w:sz w:val="24"/>
          <w:szCs w:val="24"/>
        </w:rPr>
        <w:t xml:space="preserve">招标方负责提供实施本合同所需要的技术资料、人员配合和协调工作。 </w:t>
      </w:r>
    </w:p>
    <w:p>
      <w:pPr>
        <w:widowControl/>
        <w:spacing w:line="360" w:lineRule="auto"/>
        <w:ind w:firstLine="720" w:firstLineChars="300"/>
        <w:jc w:val="left"/>
        <w:rPr>
          <w:color w:val="000000"/>
          <w:sz w:val="24"/>
          <w:szCs w:val="24"/>
        </w:rPr>
      </w:pPr>
      <w:r>
        <w:rPr>
          <w:sz w:val="24"/>
          <w:szCs w:val="24"/>
        </w:rPr>
        <w:t>3）</w:t>
      </w:r>
      <w:r>
        <w:rPr>
          <w:color w:val="000000"/>
          <w:sz w:val="24"/>
          <w:szCs w:val="24"/>
        </w:rPr>
        <w:t>提供相关图纸、资料；提供动力电源、照明电源、炉内喷涂平台操作。</w:t>
      </w:r>
    </w:p>
    <w:p>
      <w:pPr>
        <w:widowControl/>
        <w:spacing w:line="360" w:lineRule="auto"/>
        <w:ind w:firstLine="720" w:firstLineChars="300"/>
        <w:jc w:val="left"/>
        <w:rPr>
          <w:color w:val="000000"/>
          <w:sz w:val="24"/>
          <w:szCs w:val="24"/>
        </w:rPr>
      </w:pPr>
      <w:r>
        <w:rPr>
          <w:sz w:val="24"/>
          <w:szCs w:val="24"/>
        </w:rPr>
        <w:t>4）</w:t>
      </w:r>
      <w:r>
        <w:rPr>
          <w:color w:val="000000"/>
          <w:sz w:val="24"/>
          <w:szCs w:val="24"/>
        </w:rPr>
        <w:t>审核投标方提交的施工技术方案。</w:t>
      </w:r>
    </w:p>
    <w:p>
      <w:pPr>
        <w:widowControl/>
        <w:spacing w:line="360" w:lineRule="auto"/>
        <w:ind w:firstLine="720" w:firstLineChars="300"/>
        <w:jc w:val="left"/>
        <w:rPr>
          <w:color w:val="000000"/>
          <w:sz w:val="24"/>
          <w:szCs w:val="24"/>
        </w:rPr>
      </w:pPr>
      <w:r>
        <w:rPr>
          <w:sz w:val="24"/>
          <w:szCs w:val="24"/>
        </w:rPr>
        <w:t>5）</w:t>
      </w:r>
      <w:r>
        <w:rPr>
          <w:color w:val="000000"/>
          <w:sz w:val="24"/>
          <w:szCs w:val="24"/>
        </w:rPr>
        <w:t>负责施工质量的监督和安全管理工作。</w:t>
      </w:r>
    </w:p>
    <w:p>
      <w:pPr>
        <w:widowControl/>
        <w:spacing w:line="360" w:lineRule="auto"/>
        <w:ind w:firstLine="720" w:firstLineChars="300"/>
        <w:jc w:val="left"/>
        <w:rPr>
          <w:color w:val="000000"/>
          <w:sz w:val="24"/>
          <w:szCs w:val="24"/>
        </w:rPr>
      </w:pPr>
      <w:r>
        <w:rPr>
          <w:sz w:val="24"/>
          <w:szCs w:val="24"/>
        </w:rPr>
        <w:t>6）</w:t>
      </w:r>
      <w:r>
        <w:rPr>
          <w:color w:val="000000"/>
          <w:sz w:val="24"/>
          <w:szCs w:val="24"/>
        </w:rPr>
        <w:t>指派专人负责项目的协调、联系。</w:t>
      </w:r>
    </w:p>
    <w:p>
      <w:pPr>
        <w:widowControl/>
        <w:spacing w:line="360" w:lineRule="auto"/>
        <w:ind w:firstLine="720" w:firstLineChars="300"/>
        <w:jc w:val="left"/>
        <w:rPr>
          <w:color w:val="000000"/>
          <w:sz w:val="24"/>
          <w:szCs w:val="24"/>
        </w:rPr>
      </w:pPr>
      <w:r>
        <w:rPr>
          <w:sz w:val="24"/>
          <w:szCs w:val="24"/>
        </w:rPr>
        <w:t>7）</w:t>
      </w:r>
      <w:r>
        <w:rPr>
          <w:color w:val="000000"/>
          <w:sz w:val="24"/>
          <w:szCs w:val="24"/>
        </w:rPr>
        <w:t>负责对投标方的工作进行现场验收、确认。</w:t>
      </w:r>
    </w:p>
    <w:p>
      <w:pPr>
        <w:widowControl/>
        <w:spacing w:line="360" w:lineRule="auto"/>
        <w:ind w:firstLine="720" w:firstLineChars="300"/>
        <w:jc w:val="left"/>
        <w:rPr>
          <w:color w:val="000000"/>
          <w:sz w:val="24"/>
          <w:szCs w:val="24"/>
        </w:rPr>
      </w:pPr>
      <w:r>
        <w:rPr>
          <w:sz w:val="24"/>
          <w:szCs w:val="24"/>
        </w:rPr>
        <w:t>8）</w:t>
      </w:r>
      <w:r>
        <w:rPr>
          <w:color w:val="000000"/>
          <w:sz w:val="24"/>
          <w:szCs w:val="24"/>
        </w:rPr>
        <w:t>为投标方搭建工作所需的脚手架及平台。</w:t>
      </w:r>
    </w:p>
    <w:p>
      <w:pPr>
        <w:spacing w:line="360" w:lineRule="auto"/>
        <w:ind w:firstLine="600" w:firstLineChars="250"/>
        <w:rPr>
          <w:sz w:val="24"/>
          <w:szCs w:val="24"/>
        </w:rPr>
      </w:pPr>
      <w:r>
        <w:rPr>
          <w:sz w:val="24"/>
          <w:szCs w:val="24"/>
        </w:rPr>
        <w:t>2、投标方职责：</w:t>
      </w:r>
    </w:p>
    <w:p>
      <w:pPr>
        <w:spacing w:line="360" w:lineRule="auto"/>
        <w:ind w:firstLine="600" w:firstLineChars="250"/>
        <w:rPr>
          <w:sz w:val="24"/>
          <w:szCs w:val="24"/>
        </w:rPr>
      </w:pPr>
      <w:r>
        <w:rPr>
          <w:sz w:val="24"/>
          <w:szCs w:val="24"/>
        </w:rPr>
        <w:t>1）</w:t>
      </w:r>
      <w:r>
        <w:rPr>
          <w:color w:val="000000"/>
          <w:sz w:val="24"/>
          <w:szCs w:val="24"/>
        </w:rPr>
        <w:t>投标方指派现场负责人接受招标方检修管理指令，制定</w:t>
      </w:r>
      <w:r>
        <w:rPr>
          <w:sz w:val="24"/>
          <w:szCs w:val="24"/>
        </w:rPr>
        <w:t>涂层施工技术方案</w:t>
      </w:r>
      <w:r>
        <w:rPr>
          <w:color w:val="000000"/>
          <w:sz w:val="24"/>
          <w:szCs w:val="24"/>
        </w:rPr>
        <w:t>与安全措施</w:t>
      </w:r>
      <w:r>
        <w:rPr>
          <w:sz w:val="24"/>
          <w:szCs w:val="24"/>
        </w:rPr>
        <w:t>，并负责组织实施。</w:t>
      </w:r>
      <w:r>
        <w:rPr>
          <w:color w:val="000000"/>
          <w:sz w:val="24"/>
          <w:szCs w:val="24"/>
        </w:rPr>
        <w:t>执行招标方各项规章制度，服从招标方安全、质量、进度、文明生产的管理。协调好与相关施工单位的配合工作。</w:t>
      </w:r>
    </w:p>
    <w:p>
      <w:pPr>
        <w:pStyle w:val="8"/>
        <w:spacing w:line="360" w:lineRule="auto"/>
        <w:ind w:left="0" w:leftChars="0" w:firstLine="480" w:firstLineChars="200"/>
        <w:rPr>
          <w:sz w:val="24"/>
          <w:szCs w:val="24"/>
        </w:rPr>
      </w:pPr>
      <w:r>
        <w:rPr>
          <w:sz w:val="24"/>
          <w:szCs w:val="24"/>
        </w:rPr>
        <w:t>投标方投标时应提供喷涂施工方案、产品技术参数等资料；投标方在接到中标通知后</w:t>
      </w:r>
      <w:r>
        <w:rPr>
          <w:rFonts w:hint="eastAsia"/>
          <w:sz w:val="24"/>
          <w:szCs w:val="24"/>
        </w:rPr>
        <w:t>即</w:t>
      </w:r>
      <w:r>
        <w:rPr>
          <w:sz w:val="24"/>
          <w:szCs w:val="24"/>
        </w:rPr>
        <w:t>制定详细的施工组织设计，并报招标方相关部门审批；如有异议，中标方须来人与招标方相关人员进行协商修改，审核通过后严格按照方案、措施的要求进行施工作业。</w:t>
      </w:r>
    </w:p>
    <w:p>
      <w:pPr>
        <w:spacing w:line="360" w:lineRule="auto"/>
        <w:ind w:firstLine="600" w:firstLineChars="250"/>
        <w:rPr>
          <w:sz w:val="24"/>
          <w:szCs w:val="24"/>
        </w:rPr>
      </w:pPr>
      <w:r>
        <w:rPr>
          <w:sz w:val="24"/>
          <w:szCs w:val="24"/>
        </w:rPr>
        <w:t>2）负责喷涂等工作内容的工程实施。</w:t>
      </w:r>
    </w:p>
    <w:p>
      <w:pPr>
        <w:spacing w:line="360" w:lineRule="auto"/>
        <w:ind w:firstLine="600" w:firstLineChars="250"/>
        <w:rPr>
          <w:sz w:val="24"/>
          <w:szCs w:val="24"/>
        </w:rPr>
      </w:pPr>
      <w:r>
        <w:rPr>
          <w:sz w:val="24"/>
          <w:szCs w:val="24"/>
        </w:rPr>
        <w:t>3）投标方自备符合喷涂技术要求的空压机等所需要的全部机具、工器具、仪器仪表和材料,以及施工所需的合格安全防护用具、用品等。</w:t>
      </w:r>
    </w:p>
    <w:p>
      <w:pPr>
        <w:pStyle w:val="8"/>
        <w:spacing w:line="360" w:lineRule="auto"/>
        <w:ind w:left="0" w:leftChars="0" w:firstLine="480" w:firstLineChars="200"/>
        <w:rPr>
          <w:sz w:val="24"/>
          <w:szCs w:val="24"/>
        </w:rPr>
      </w:pPr>
      <w:r>
        <w:rPr>
          <w:sz w:val="24"/>
          <w:szCs w:val="24"/>
        </w:rPr>
        <w:t xml:space="preserve"> 4)投标方施工设备及施工材料、工器具，因不可预测的原因造成丢失，招标方不承担赔偿责任；若有关主要设备或材料丢失造成对施工进度有影响时，投标方应及时补齐设备和材料，继续完成施工任务，以保证工程进度需求，招标方可协助投标方查找丢失设备或材料。</w:t>
      </w:r>
    </w:p>
    <w:p>
      <w:pPr>
        <w:pStyle w:val="8"/>
        <w:spacing w:line="360" w:lineRule="auto"/>
        <w:ind w:left="0" w:leftChars="0" w:firstLine="480" w:firstLineChars="200"/>
        <w:rPr>
          <w:sz w:val="24"/>
          <w:szCs w:val="24"/>
        </w:rPr>
      </w:pPr>
      <w:r>
        <w:rPr>
          <w:sz w:val="24"/>
          <w:szCs w:val="24"/>
        </w:rPr>
        <w:t xml:space="preserve"> 5)凡由投标方采购的主要材料，生产厂家的资质需经招标方确定。招标方不定期对投标方所采购的主要材料进行抽检，对不合格材料招标方有权终止在本工程的使用。</w:t>
      </w:r>
    </w:p>
    <w:p>
      <w:pPr>
        <w:pStyle w:val="8"/>
        <w:spacing w:line="360" w:lineRule="auto"/>
        <w:ind w:left="0" w:leftChars="0" w:firstLine="482" w:firstLineChars="200"/>
        <w:rPr>
          <w:b/>
          <w:bCs/>
          <w:sz w:val="24"/>
          <w:szCs w:val="24"/>
        </w:rPr>
      </w:pPr>
      <w:r>
        <w:rPr>
          <w:b/>
          <w:sz w:val="24"/>
          <w:szCs w:val="24"/>
        </w:rPr>
        <w:t>6) 投标方自行采购的主要材料须在开工前2日到厂，并存放于招标方指定的位置。主要材料在由生产厂家发货时，发货前须通知招标方派员现场见证，并由招标方指定运输车辆进行运输，运输费用由投标方承担。</w:t>
      </w:r>
      <w:r>
        <w:rPr>
          <w:b/>
          <w:bCs/>
          <w:sz w:val="24"/>
          <w:szCs w:val="24"/>
        </w:rPr>
        <w:t>喷涂材料单耗不</w:t>
      </w:r>
      <w:r>
        <w:rPr>
          <w:b/>
          <w:bCs/>
          <w:color w:val="FF0000"/>
          <w:sz w:val="24"/>
          <w:szCs w:val="24"/>
        </w:rPr>
        <w:t>低于3㎏／㎡。</w:t>
      </w:r>
    </w:p>
    <w:p>
      <w:pPr>
        <w:pStyle w:val="8"/>
        <w:spacing w:line="360" w:lineRule="auto"/>
        <w:ind w:left="0" w:leftChars="0" w:firstLine="480" w:firstLineChars="200"/>
        <w:rPr>
          <w:sz w:val="24"/>
          <w:szCs w:val="24"/>
        </w:rPr>
      </w:pPr>
      <w:bookmarkStart w:id="3" w:name="_Toc11947477"/>
      <w:bookmarkStart w:id="4" w:name="_Toc11652410"/>
      <w:bookmarkStart w:id="5" w:name="_Toc10278532"/>
      <w:bookmarkStart w:id="6" w:name="_Toc64428568"/>
      <w:bookmarkStart w:id="7" w:name="_Toc10278659"/>
      <w:bookmarkStart w:id="8" w:name="_Toc73429497"/>
      <w:bookmarkStart w:id="9" w:name="_Toc211931665"/>
      <w:bookmarkStart w:id="10" w:name="_Toc31257030"/>
      <w:bookmarkStart w:id="11" w:name="_Toc10369805"/>
      <w:bookmarkStart w:id="12" w:name="_Toc10522159"/>
      <w:bookmarkStart w:id="13" w:name="_Toc10369686"/>
      <w:r>
        <w:rPr>
          <w:sz w:val="24"/>
          <w:szCs w:val="24"/>
        </w:rPr>
        <w:t xml:space="preserve"> 7)投标方对自行采购的主要材料的管理</w:t>
      </w:r>
      <w:bookmarkEnd w:id="3"/>
      <w:bookmarkEnd w:id="4"/>
      <w:bookmarkEnd w:id="5"/>
      <w:bookmarkEnd w:id="6"/>
      <w:bookmarkEnd w:id="7"/>
      <w:bookmarkEnd w:id="8"/>
      <w:bookmarkEnd w:id="9"/>
      <w:bookmarkEnd w:id="10"/>
      <w:bookmarkEnd w:id="11"/>
      <w:bookmarkEnd w:id="12"/>
      <w:bookmarkEnd w:id="13"/>
    </w:p>
    <w:p>
      <w:pPr>
        <w:pStyle w:val="8"/>
        <w:spacing w:line="360" w:lineRule="auto"/>
        <w:ind w:left="0" w:leftChars="0" w:firstLine="480" w:firstLineChars="200"/>
        <w:rPr>
          <w:sz w:val="24"/>
          <w:szCs w:val="24"/>
        </w:rPr>
      </w:pPr>
      <w:r>
        <w:rPr>
          <w:sz w:val="24"/>
          <w:szCs w:val="24"/>
        </w:rPr>
        <w:t xml:space="preserve"> 7.1投标方负责属于投标方供货范围内的材料从采购至结算全过程的采购、运输、接货、卸车、搬运、保管、验收、结算的全部工作。</w:t>
      </w:r>
    </w:p>
    <w:p>
      <w:pPr>
        <w:pStyle w:val="8"/>
        <w:spacing w:line="360" w:lineRule="auto"/>
        <w:ind w:left="0" w:leftChars="0" w:firstLine="480" w:firstLineChars="200"/>
        <w:rPr>
          <w:sz w:val="24"/>
          <w:szCs w:val="24"/>
        </w:rPr>
      </w:pPr>
      <w:r>
        <w:rPr>
          <w:sz w:val="24"/>
          <w:szCs w:val="24"/>
        </w:rPr>
        <w:t xml:space="preserve"> 7.2投标方应按照有关标准和招标方要求采购，并提供产品合格证明，对材料、设备质量负责。投标方在材料、设备到货前24小时通知招标方清点。</w:t>
      </w:r>
    </w:p>
    <w:p>
      <w:pPr>
        <w:pStyle w:val="8"/>
        <w:spacing w:line="360" w:lineRule="auto"/>
        <w:ind w:left="0" w:leftChars="0" w:firstLine="480" w:firstLineChars="200"/>
        <w:rPr>
          <w:sz w:val="24"/>
          <w:szCs w:val="24"/>
        </w:rPr>
      </w:pPr>
      <w:r>
        <w:rPr>
          <w:sz w:val="24"/>
          <w:szCs w:val="24"/>
        </w:rPr>
        <w:t xml:space="preserve"> 7.3投标方采购的材料、设备与招标方要求不符时，投标方应按招标方要求的时间运出施工场地，重新采购符合要求的产品，承担由此发生的费用，由此延误的工期不予顺延。</w:t>
      </w:r>
    </w:p>
    <w:p>
      <w:pPr>
        <w:pStyle w:val="8"/>
        <w:spacing w:line="360" w:lineRule="auto"/>
        <w:ind w:left="0" w:leftChars="0" w:firstLine="480" w:firstLineChars="200"/>
        <w:rPr>
          <w:sz w:val="24"/>
          <w:szCs w:val="24"/>
        </w:rPr>
      </w:pPr>
      <w:r>
        <w:rPr>
          <w:sz w:val="24"/>
          <w:szCs w:val="24"/>
        </w:rPr>
        <w:t xml:space="preserve"> 7.4投标方采购的材料、设备在使用前，投标方应按招标方的要求进行检验或试验，不合格的不得使用，检验或试验费用由投标方承担。</w:t>
      </w:r>
    </w:p>
    <w:p>
      <w:pPr>
        <w:pStyle w:val="8"/>
        <w:spacing w:line="360" w:lineRule="auto"/>
        <w:ind w:left="0" w:leftChars="0" w:firstLine="480" w:firstLineChars="200"/>
        <w:rPr>
          <w:sz w:val="24"/>
          <w:szCs w:val="24"/>
        </w:rPr>
      </w:pPr>
      <w:r>
        <w:rPr>
          <w:sz w:val="24"/>
          <w:szCs w:val="24"/>
        </w:rPr>
        <w:t xml:space="preserve"> 7.5投标方需要使用替代材料时，应经招标方认可后才能使用。</w:t>
      </w:r>
    </w:p>
    <w:p>
      <w:pPr>
        <w:pStyle w:val="8"/>
        <w:spacing w:line="360" w:lineRule="auto"/>
        <w:ind w:left="0" w:leftChars="0" w:firstLine="480" w:firstLineChars="200"/>
        <w:rPr>
          <w:sz w:val="24"/>
          <w:szCs w:val="24"/>
        </w:rPr>
      </w:pPr>
      <w:r>
        <w:rPr>
          <w:sz w:val="24"/>
          <w:szCs w:val="24"/>
        </w:rPr>
        <w:t xml:space="preserve"> 7.6投标方应负责提供用于试验的全部试样，并承担费用。</w:t>
      </w:r>
    </w:p>
    <w:p>
      <w:pPr>
        <w:pStyle w:val="8"/>
        <w:spacing w:line="360" w:lineRule="auto"/>
        <w:ind w:left="0" w:leftChars="0" w:firstLine="482" w:firstLineChars="200"/>
        <w:rPr>
          <w:b/>
          <w:bCs/>
          <w:sz w:val="24"/>
          <w:szCs w:val="24"/>
        </w:rPr>
      </w:pPr>
      <w:r>
        <w:rPr>
          <w:b/>
          <w:bCs/>
          <w:sz w:val="24"/>
          <w:szCs w:val="24"/>
        </w:rPr>
        <w:t>7</w:t>
      </w:r>
      <w:r>
        <w:rPr>
          <w:sz w:val="24"/>
          <w:szCs w:val="24"/>
        </w:rPr>
        <w:t>.7投标方如有未用完的喷涂材料，投标方不得以任何理由索要，材料归招标方所有。</w:t>
      </w:r>
    </w:p>
    <w:p>
      <w:pPr>
        <w:pStyle w:val="8"/>
        <w:spacing w:line="360" w:lineRule="auto"/>
        <w:ind w:left="0" w:leftChars="0" w:firstLine="482" w:firstLineChars="200"/>
        <w:rPr>
          <w:b/>
          <w:sz w:val="24"/>
          <w:szCs w:val="24"/>
        </w:rPr>
      </w:pPr>
      <w:r>
        <w:rPr>
          <w:b/>
          <w:sz w:val="24"/>
          <w:szCs w:val="24"/>
        </w:rPr>
        <w:t xml:space="preserve"> 8）投标方自备喷涂验收所需的涂层测厚仪器。</w:t>
      </w:r>
    </w:p>
    <w:p>
      <w:pPr>
        <w:pStyle w:val="8"/>
        <w:spacing w:line="360" w:lineRule="auto"/>
        <w:ind w:left="0" w:leftChars="0" w:firstLine="480" w:firstLineChars="200"/>
        <w:rPr>
          <w:sz w:val="24"/>
          <w:szCs w:val="24"/>
        </w:rPr>
      </w:pPr>
      <w:r>
        <w:rPr>
          <w:sz w:val="24"/>
          <w:szCs w:val="24"/>
        </w:rPr>
        <w:t xml:space="preserve"> 9) 喷涂施工产生的废弃物由投标方负责清运出厂，废弃物的处理必须达到环保要求</w:t>
      </w:r>
      <w:r>
        <w:rPr>
          <w:rFonts w:hint="eastAsia"/>
          <w:sz w:val="24"/>
          <w:szCs w:val="24"/>
        </w:rPr>
        <w:t>，处置过程必须符合国家及地方环保相关法律法规要求，招标方不提供垃圾及杂物堆放地点</w:t>
      </w:r>
      <w:r>
        <w:rPr>
          <w:sz w:val="24"/>
          <w:szCs w:val="24"/>
        </w:rPr>
        <w:t>。</w:t>
      </w:r>
    </w:p>
    <w:p>
      <w:pPr>
        <w:pStyle w:val="8"/>
        <w:spacing w:line="360" w:lineRule="auto"/>
        <w:ind w:left="0" w:leftChars="0" w:firstLine="480" w:firstLineChars="200"/>
        <w:rPr>
          <w:sz w:val="24"/>
          <w:szCs w:val="24"/>
        </w:rPr>
      </w:pPr>
      <w:r>
        <w:rPr>
          <w:sz w:val="24"/>
          <w:szCs w:val="24"/>
        </w:rPr>
        <w:t>10）坚持严格管理、精心调整、履行合同、向用户提供优质服务，严格按施工工艺、技术方案及施工验收规范的要求组织施工，确保工程质量和工程进度；</w:t>
      </w:r>
    </w:p>
    <w:p>
      <w:pPr>
        <w:pStyle w:val="8"/>
        <w:spacing w:line="360" w:lineRule="auto"/>
        <w:ind w:left="0" w:leftChars="0" w:firstLine="480" w:firstLineChars="200"/>
        <w:rPr>
          <w:sz w:val="24"/>
          <w:szCs w:val="24"/>
        </w:rPr>
      </w:pPr>
      <w:r>
        <w:rPr>
          <w:sz w:val="24"/>
          <w:szCs w:val="24"/>
        </w:rPr>
        <w:t>11）接受招标方监督，协助招标方进行全面检查验收。</w:t>
      </w:r>
    </w:p>
    <w:p>
      <w:pPr>
        <w:pStyle w:val="8"/>
        <w:spacing w:line="360" w:lineRule="auto"/>
        <w:ind w:left="0" w:leftChars="0" w:firstLine="480" w:firstLineChars="200"/>
        <w:rPr>
          <w:sz w:val="24"/>
          <w:szCs w:val="24"/>
        </w:rPr>
      </w:pPr>
      <w:r>
        <w:rPr>
          <w:sz w:val="24"/>
          <w:szCs w:val="24"/>
        </w:rPr>
        <w:t>12）严格执行质量反馈制，对发现的重大质量问题应及时通知招标方等有关部门，避免由此耽误工期、影响工程进度。由于投标方原因造成的质量问题，投标方无条件返工。</w:t>
      </w:r>
    </w:p>
    <w:p>
      <w:pPr>
        <w:pStyle w:val="8"/>
        <w:spacing w:line="360" w:lineRule="auto"/>
        <w:ind w:left="0" w:leftChars="0" w:firstLine="480" w:firstLineChars="200"/>
        <w:rPr>
          <w:sz w:val="24"/>
          <w:szCs w:val="24"/>
        </w:rPr>
      </w:pPr>
      <w:r>
        <w:rPr>
          <w:sz w:val="24"/>
          <w:szCs w:val="24"/>
        </w:rPr>
        <w:t>13）严格按招标方指定的区域进行施工，不得擅自变更施工范围。实际喷涂面积在施工结束后由双方共同到现场进行测量，并通过双方认可的计算方法进行面积确定。</w:t>
      </w:r>
    </w:p>
    <w:p>
      <w:pPr>
        <w:pStyle w:val="8"/>
        <w:spacing w:line="360" w:lineRule="auto"/>
        <w:ind w:left="0" w:leftChars="0" w:firstLine="480" w:firstLineChars="200"/>
        <w:rPr>
          <w:sz w:val="24"/>
          <w:szCs w:val="24"/>
        </w:rPr>
      </w:pPr>
      <w:r>
        <w:rPr>
          <w:sz w:val="24"/>
          <w:szCs w:val="24"/>
        </w:rPr>
        <w:t>14）严格遵守招标方关于安全文明施工的各项管理制度。</w:t>
      </w:r>
    </w:p>
    <w:p>
      <w:pPr>
        <w:pStyle w:val="8"/>
        <w:spacing w:line="360" w:lineRule="auto"/>
        <w:ind w:left="0" w:leftChars="0" w:firstLine="480" w:firstLineChars="200"/>
        <w:rPr>
          <w:sz w:val="24"/>
          <w:szCs w:val="24"/>
        </w:rPr>
      </w:pPr>
      <w:r>
        <w:rPr>
          <w:sz w:val="24"/>
          <w:szCs w:val="24"/>
        </w:rPr>
        <w:t>15）投标方应切实履行文明生产义务和职责，坚持良好的施工工艺和工作作风，做到工完、料尽、场地清。</w:t>
      </w:r>
    </w:p>
    <w:p>
      <w:pPr>
        <w:pStyle w:val="8"/>
        <w:spacing w:line="360" w:lineRule="auto"/>
        <w:ind w:left="0" w:leftChars="0" w:firstLine="480" w:firstLineChars="200"/>
        <w:rPr>
          <w:sz w:val="24"/>
          <w:szCs w:val="24"/>
        </w:rPr>
      </w:pPr>
      <w:r>
        <w:rPr>
          <w:sz w:val="24"/>
          <w:szCs w:val="24"/>
        </w:rPr>
        <w:t>16) 投标方的食宿、交通、洗澡等后勤事项自理。</w:t>
      </w:r>
    </w:p>
    <w:p>
      <w:pPr>
        <w:pStyle w:val="8"/>
        <w:spacing w:line="360" w:lineRule="auto"/>
        <w:ind w:left="0" w:leftChars="0" w:firstLine="480" w:firstLineChars="200"/>
        <w:rPr>
          <w:sz w:val="24"/>
          <w:szCs w:val="24"/>
        </w:rPr>
      </w:pPr>
      <w:r>
        <w:rPr>
          <w:sz w:val="24"/>
          <w:szCs w:val="24"/>
        </w:rPr>
        <w:t>17）投标方在服务期间，承诺按照招标方内控的要求进行工作。</w:t>
      </w:r>
    </w:p>
    <w:p>
      <w:pPr>
        <w:pStyle w:val="8"/>
        <w:spacing w:line="360" w:lineRule="auto"/>
        <w:ind w:left="0" w:leftChars="0" w:firstLine="480" w:firstLineChars="200"/>
        <w:rPr>
          <w:sz w:val="24"/>
          <w:szCs w:val="24"/>
        </w:rPr>
      </w:pPr>
      <w:r>
        <w:rPr>
          <w:sz w:val="24"/>
          <w:szCs w:val="24"/>
        </w:rPr>
        <w:t>18）投标方承诺，允许招标方对其是否按照招标方内控的要求进行工作的情况进行检查和审计。</w:t>
      </w:r>
    </w:p>
    <w:p>
      <w:pPr>
        <w:pStyle w:val="8"/>
        <w:spacing w:line="360" w:lineRule="auto"/>
        <w:ind w:left="0" w:leftChars="0" w:firstLine="480" w:firstLineChars="200"/>
        <w:rPr>
          <w:sz w:val="24"/>
          <w:szCs w:val="24"/>
        </w:rPr>
      </w:pPr>
      <w:r>
        <w:rPr>
          <w:sz w:val="24"/>
          <w:szCs w:val="24"/>
        </w:rPr>
        <w:t>19）除非得到另一方的书面许可，双方均不得将本规范书中的内容及在本规范书执行过程中获得的对方的商业信息以任何形式向任何第三方泄漏，但法律要求披露的除外。</w:t>
      </w:r>
    </w:p>
    <w:p>
      <w:pPr>
        <w:pStyle w:val="8"/>
        <w:numPr>
          <w:ilvl w:val="0"/>
          <w:numId w:val="4"/>
        </w:numPr>
        <w:spacing w:line="360" w:lineRule="auto"/>
        <w:ind w:leftChars="0"/>
        <w:rPr>
          <w:b/>
          <w:sz w:val="32"/>
          <w:szCs w:val="32"/>
        </w:rPr>
      </w:pPr>
      <w:r>
        <w:rPr>
          <w:b/>
          <w:sz w:val="32"/>
          <w:szCs w:val="32"/>
        </w:rPr>
        <w:t>工程技术要求</w:t>
      </w:r>
    </w:p>
    <w:p>
      <w:pPr>
        <w:spacing w:line="360" w:lineRule="auto"/>
        <w:ind w:firstLine="600" w:firstLineChars="250"/>
        <w:rPr>
          <w:sz w:val="24"/>
          <w:szCs w:val="24"/>
        </w:rPr>
      </w:pPr>
      <w:r>
        <w:rPr>
          <w:sz w:val="24"/>
          <w:szCs w:val="24"/>
        </w:rPr>
        <w:t>1、投标方应严格按照有关标准实施本工作，确保工作质量。</w:t>
      </w:r>
    </w:p>
    <w:p>
      <w:pPr>
        <w:spacing w:line="360" w:lineRule="auto"/>
        <w:ind w:firstLine="600" w:firstLineChars="250"/>
        <w:rPr>
          <w:sz w:val="24"/>
          <w:szCs w:val="24"/>
        </w:rPr>
      </w:pPr>
      <w:r>
        <w:rPr>
          <w:sz w:val="24"/>
          <w:szCs w:val="24"/>
        </w:rPr>
        <w:t>2、投标方需要为喷涂工作配备相关专业技术人员，该技术人员具备熟悉喷涂工作和具有快速解决问题的能力；</w:t>
      </w:r>
    </w:p>
    <w:p>
      <w:pPr>
        <w:spacing w:line="360" w:lineRule="auto"/>
        <w:ind w:firstLine="600" w:firstLineChars="250"/>
        <w:rPr>
          <w:sz w:val="24"/>
          <w:szCs w:val="24"/>
        </w:rPr>
      </w:pPr>
      <w:r>
        <w:rPr>
          <w:sz w:val="24"/>
          <w:szCs w:val="24"/>
        </w:rPr>
        <w:t>3、为了保证投标方的工作质量，投标方的喷涂工作接受招标方的监督，并严格遵守招标方的相关规章制度。</w:t>
      </w:r>
    </w:p>
    <w:p>
      <w:pPr>
        <w:spacing w:line="360" w:lineRule="auto"/>
        <w:ind w:firstLine="600" w:firstLineChars="250"/>
        <w:rPr>
          <w:sz w:val="24"/>
          <w:szCs w:val="24"/>
        </w:rPr>
      </w:pPr>
      <w:r>
        <w:rPr>
          <w:sz w:val="24"/>
          <w:szCs w:val="24"/>
        </w:rPr>
        <w:t>4、投标方保证喷涂工作的过程未侵犯第三方合法权益。</w:t>
      </w:r>
    </w:p>
    <w:p>
      <w:pPr>
        <w:spacing w:line="360" w:lineRule="auto"/>
        <w:ind w:firstLine="600" w:firstLineChars="250"/>
        <w:rPr>
          <w:sz w:val="24"/>
          <w:szCs w:val="24"/>
        </w:rPr>
      </w:pPr>
      <w:r>
        <w:rPr>
          <w:sz w:val="24"/>
          <w:szCs w:val="24"/>
        </w:rPr>
        <w:t>5、投标方所承担的喷涂项目的质量标准应当符合国家标准、行业标准或者制造企业的标准。若无国家标准、行业标准或者制造企业的标准的，以符合合同目的的其他标准作为质量标准。</w:t>
      </w:r>
    </w:p>
    <w:p>
      <w:pPr>
        <w:spacing w:line="360" w:lineRule="auto"/>
        <w:ind w:firstLine="600" w:firstLineChars="250"/>
        <w:rPr>
          <w:sz w:val="24"/>
          <w:szCs w:val="24"/>
        </w:rPr>
      </w:pPr>
      <w:r>
        <w:rPr>
          <w:sz w:val="24"/>
          <w:szCs w:val="24"/>
        </w:rPr>
        <w:t>6、 喷涂工艺、材料选择</w:t>
      </w:r>
    </w:p>
    <w:p>
      <w:pPr>
        <w:spacing w:line="360" w:lineRule="auto"/>
        <w:ind w:firstLine="600" w:firstLineChars="250"/>
        <w:rPr>
          <w:sz w:val="24"/>
          <w:szCs w:val="24"/>
        </w:rPr>
      </w:pPr>
      <w:r>
        <w:rPr>
          <w:sz w:val="24"/>
          <w:szCs w:val="24"/>
        </w:rPr>
        <w:t>6.1 喷涂工艺选择：采用超音速电弧喷涂工艺进行喷涂，投标方应详细阐述超音速喷涂的工艺技术要求，提供相关指标。</w:t>
      </w:r>
    </w:p>
    <w:p>
      <w:pPr>
        <w:spacing w:line="360" w:lineRule="auto"/>
        <w:ind w:firstLine="600" w:firstLineChars="250"/>
        <w:rPr>
          <w:sz w:val="24"/>
          <w:szCs w:val="24"/>
        </w:rPr>
      </w:pPr>
      <w:r>
        <w:rPr>
          <w:sz w:val="24"/>
          <w:szCs w:val="24"/>
        </w:rPr>
        <w:t>6.2 喷涂材料选择</w:t>
      </w:r>
    </w:p>
    <w:p>
      <w:pPr>
        <w:spacing w:line="360" w:lineRule="auto"/>
        <w:ind w:firstLine="480" w:firstLineChars="200"/>
        <w:rPr>
          <w:color w:val="FF0000"/>
          <w:sz w:val="24"/>
        </w:rPr>
      </w:pPr>
      <w:r>
        <w:rPr>
          <w:sz w:val="24"/>
          <w:szCs w:val="24"/>
        </w:rPr>
        <w:t>喷</w:t>
      </w:r>
      <w:r>
        <w:rPr>
          <w:sz w:val="24"/>
        </w:rPr>
        <w:t>涂所用的丝材</w:t>
      </w:r>
      <w:bookmarkStart w:id="14" w:name="_GoBack"/>
      <w:bookmarkEnd w:id="14"/>
      <w:r>
        <w:rPr>
          <w:sz w:val="24"/>
        </w:rPr>
        <w:t>的主要成份和含量为Cr43-45%、Ni54-56%、Ti1-2%。所选用喷涂材料的热膨胀系数应接近水冷壁</w:t>
      </w:r>
      <w:r>
        <w:rPr>
          <w:rFonts w:hint="eastAsia"/>
          <w:sz w:val="24"/>
        </w:rPr>
        <w:t>、过热器</w:t>
      </w:r>
      <w:r>
        <w:rPr>
          <w:sz w:val="24"/>
        </w:rPr>
        <w:t>管材料，且具有较高结合强度和良好的塑性，以避免涂层在交变热应力作用下脱层。</w:t>
      </w:r>
      <w:r>
        <w:rPr>
          <w:color w:val="FF0000"/>
          <w:sz w:val="24"/>
        </w:rPr>
        <w:t>此外涂层材料还应具有</w:t>
      </w:r>
      <w:r>
        <w:rPr>
          <w:rFonts w:hint="eastAsia"/>
          <w:color w:val="FF0000"/>
          <w:sz w:val="24"/>
        </w:rPr>
        <w:t>抗磨性强、</w:t>
      </w:r>
      <w:r>
        <w:rPr>
          <w:color w:val="FF0000"/>
          <w:sz w:val="24"/>
        </w:rPr>
        <w:t>抗腐蚀、抗氧化、耐高温、延展性好、抗冲蚀能力强等特点</w:t>
      </w:r>
      <w:r>
        <w:rPr>
          <w:rFonts w:hint="eastAsia"/>
          <w:color w:val="FF0000"/>
          <w:sz w:val="24"/>
        </w:rPr>
        <w:t>，且满足现场相关部位技术要求</w:t>
      </w:r>
      <w:r>
        <w:rPr>
          <w:color w:val="FF0000"/>
          <w:sz w:val="24"/>
        </w:rPr>
        <w:t>。喷涂丝材为实芯，严禁使用粉芯丝材。</w:t>
      </w:r>
      <w:r>
        <w:rPr>
          <w:color w:val="FF0000"/>
          <w:sz w:val="24"/>
          <w:szCs w:val="24"/>
        </w:rPr>
        <w:t>喷涂材料单耗不低于3㎏／㎡，开工前2</w:t>
      </w:r>
      <w:r>
        <w:rPr>
          <w:rFonts w:hint="eastAsia"/>
          <w:color w:val="FF0000"/>
          <w:sz w:val="24"/>
          <w:szCs w:val="24"/>
        </w:rPr>
        <w:t>日</w:t>
      </w:r>
      <w:r>
        <w:rPr>
          <w:color w:val="FF0000"/>
          <w:sz w:val="24"/>
          <w:szCs w:val="24"/>
        </w:rPr>
        <w:t>主要材料必须全部运送到厂，并存放于招标方指定的位置。</w:t>
      </w:r>
    </w:p>
    <w:p>
      <w:pPr>
        <w:spacing w:line="360" w:lineRule="auto"/>
        <w:ind w:firstLine="600" w:firstLineChars="250"/>
        <w:rPr>
          <w:color w:val="FF0000"/>
          <w:sz w:val="24"/>
        </w:rPr>
      </w:pPr>
      <w:r>
        <w:rPr>
          <w:color w:val="FF0000"/>
          <w:sz w:val="24"/>
          <w:szCs w:val="24"/>
        </w:rPr>
        <w:t>招标方在材料运到施工现场后，由投标单位、招标单位共同对材料进行随机取样，由投标方请具有检验资质单位（需招标方确认）的第三方对材料的元素成分进行分析，材料元素成分必须符合相关标准；如材料成分不合格，则无条件更换材料，本工程所有检测、试验费用由投标方负责。</w:t>
      </w:r>
    </w:p>
    <w:p>
      <w:pPr>
        <w:spacing w:line="360" w:lineRule="auto"/>
        <w:ind w:firstLine="480" w:firstLineChars="200"/>
        <w:rPr>
          <w:color w:val="FF0000"/>
          <w:sz w:val="24"/>
        </w:rPr>
      </w:pPr>
      <w:r>
        <w:rPr>
          <w:color w:val="FF0000"/>
          <w:sz w:val="24"/>
          <w:szCs w:val="24"/>
        </w:rPr>
        <w:t>在施工过程中，招标方对施工材料随机进行抽样，进行材料成分化验，投标方应无条件配合。对随机抽样材料成分不合格的处理：投标方立即停止施工，并在最短的时间内更换合格材料；已喷涂部分按不合格处理，不合格喷涂部分需彻底清理干净，处理不合格部分施工所发生费用及对工期的影响，全部由投标方负责。如发现投标方有2次材料抽检不合格，招标方有权单方面解除合同，并由投标方承担相关损失。</w:t>
      </w:r>
    </w:p>
    <w:p>
      <w:pPr>
        <w:spacing w:line="360" w:lineRule="auto"/>
        <w:ind w:firstLine="480" w:firstLineChars="200"/>
        <w:rPr>
          <w:color w:val="FF0000"/>
          <w:sz w:val="24"/>
        </w:rPr>
      </w:pPr>
      <w:r>
        <w:rPr>
          <w:color w:val="FF0000"/>
          <w:sz w:val="24"/>
          <w:szCs w:val="24"/>
        </w:rPr>
        <w:t>投标方如有未用完的喷涂材料，投标方不得以任何理由索要，材料归招标方所有。</w:t>
      </w:r>
    </w:p>
    <w:p>
      <w:pPr>
        <w:spacing w:line="360" w:lineRule="auto"/>
        <w:ind w:firstLine="600" w:firstLineChars="250"/>
        <w:rPr>
          <w:sz w:val="24"/>
          <w:szCs w:val="24"/>
        </w:rPr>
      </w:pPr>
      <w:r>
        <w:rPr>
          <w:sz w:val="24"/>
          <w:szCs w:val="24"/>
        </w:rPr>
        <w:t>6.3 喷涂工艺技术要求</w:t>
      </w:r>
    </w:p>
    <w:p>
      <w:pPr>
        <w:spacing w:line="360" w:lineRule="auto"/>
        <w:ind w:firstLine="600" w:firstLineChars="250"/>
        <w:rPr>
          <w:sz w:val="24"/>
          <w:szCs w:val="24"/>
        </w:rPr>
      </w:pPr>
      <w:r>
        <w:rPr>
          <w:sz w:val="24"/>
          <w:szCs w:val="24"/>
        </w:rPr>
        <w:t>所有喷涂区域需待招标方对管子进行检查测厚无异常后方可实施喷涂作业。</w:t>
      </w:r>
    </w:p>
    <w:p>
      <w:pPr>
        <w:spacing w:line="360" w:lineRule="auto"/>
        <w:ind w:firstLine="600" w:firstLineChars="250"/>
        <w:rPr>
          <w:sz w:val="24"/>
          <w:szCs w:val="24"/>
        </w:rPr>
      </w:pPr>
      <w:r>
        <w:rPr>
          <w:sz w:val="24"/>
          <w:szCs w:val="24"/>
        </w:rPr>
        <w:t>6.3.1 表面预处理</w:t>
      </w:r>
    </w:p>
    <w:p>
      <w:pPr>
        <w:spacing w:line="360" w:lineRule="auto"/>
        <w:ind w:firstLine="600" w:firstLineChars="250"/>
        <w:rPr>
          <w:sz w:val="24"/>
          <w:szCs w:val="24"/>
        </w:rPr>
      </w:pPr>
      <w:r>
        <w:rPr>
          <w:sz w:val="24"/>
          <w:szCs w:val="24"/>
        </w:rPr>
        <w:t>6.3.1.1 基体材料适宜的预处理是电弧喷涂工艺过程最重要的部分之一。表面预处理包括除去金属表面的油脂、其他污物、锈、氧化皮、旧涂层、焊接熔粒以及对表面的粗化处理。</w:t>
      </w:r>
    </w:p>
    <w:p>
      <w:pPr>
        <w:spacing w:line="360" w:lineRule="auto"/>
        <w:ind w:firstLine="600" w:firstLineChars="250"/>
        <w:rPr>
          <w:sz w:val="24"/>
          <w:szCs w:val="24"/>
        </w:rPr>
      </w:pPr>
      <w:r>
        <w:rPr>
          <w:sz w:val="24"/>
          <w:szCs w:val="24"/>
        </w:rPr>
        <w:t>1) 工件表面必须绝对净化，无任何油、水分和灰尘的极小残留物。</w:t>
      </w:r>
    </w:p>
    <w:p>
      <w:pPr>
        <w:spacing w:line="360" w:lineRule="auto"/>
        <w:ind w:firstLine="600" w:firstLineChars="250"/>
        <w:rPr>
          <w:sz w:val="24"/>
          <w:szCs w:val="24"/>
        </w:rPr>
      </w:pPr>
      <w:r>
        <w:rPr>
          <w:sz w:val="24"/>
          <w:szCs w:val="24"/>
        </w:rPr>
        <w:t>2) 净化过程应同时达到使基本表面粗化的目的，本项目只能使用喷砂粗化方法，它能达到符合技术要求的粗糙度，使涂层与基体很好地啮合，并可去除油污、锈、氧化皮、旧涂层等。</w:t>
      </w:r>
    </w:p>
    <w:p>
      <w:pPr>
        <w:spacing w:line="360" w:lineRule="auto"/>
        <w:ind w:firstLine="600" w:firstLineChars="250"/>
        <w:rPr>
          <w:sz w:val="24"/>
          <w:szCs w:val="24"/>
        </w:rPr>
      </w:pPr>
      <w:r>
        <w:rPr>
          <w:sz w:val="24"/>
          <w:szCs w:val="24"/>
        </w:rPr>
        <w:t>6.3.1.2 待喷涂基体表面的预处理要求和达到的标准：</w:t>
      </w:r>
    </w:p>
    <w:p>
      <w:pPr>
        <w:spacing w:line="360" w:lineRule="auto"/>
        <w:ind w:firstLine="600" w:firstLineChars="250"/>
        <w:rPr>
          <w:sz w:val="24"/>
          <w:szCs w:val="24"/>
        </w:rPr>
      </w:pPr>
      <w:r>
        <w:rPr>
          <w:sz w:val="24"/>
          <w:szCs w:val="24"/>
        </w:rPr>
        <w:t>1) 喷砂作业须完全去除钢材表面的锈、氧化铁皮、结焦、焊瘤等，并露出灰白色金属光泽，表面清洁度达到GB/T8923 规定的Sa3.0 级。</w:t>
      </w:r>
    </w:p>
    <w:p>
      <w:pPr>
        <w:spacing w:line="360" w:lineRule="auto"/>
        <w:ind w:firstLine="600" w:firstLineChars="250"/>
        <w:rPr>
          <w:sz w:val="24"/>
          <w:szCs w:val="24"/>
        </w:rPr>
      </w:pPr>
      <w:r>
        <w:rPr>
          <w:sz w:val="24"/>
          <w:szCs w:val="24"/>
        </w:rPr>
        <w:t>2) 喷砂除锈、除漆，必须采用金刚砂进行粗打磨，然后</w:t>
      </w:r>
      <w:r>
        <w:rPr>
          <w:bCs/>
          <w:sz w:val="24"/>
          <w:szCs w:val="24"/>
        </w:rPr>
        <w:t>然后使用棕刚玉进行细打磨</w:t>
      </w:r>
      <w:r>
        <w:rPr>
          <w:sz w:val="24"/>
          <w:szCs w:val="24"/>
        </w:rPr>
        <w:t>；表面清洁后的基体表面须进行粗化处理，以增大表面积，提高结合强度，其表面粗糙度应达到GB11373-89《热喷涂金属表面预处理通则》规定的Rz50-90μm。</w:t>
      </w:r>
      <w:r>
        <w:rPr>
          <w:bCs/>
          <w:sz w:val="24"/>
          <w:szCs w:val="24"/>
        </w:rPr>
        <w:t>打磨顺序：首先使用金刚砂进行粗打磨，然后使用棕刚玉进行细打磨，以对水冷壁需喷涂的表面进行仔细的清理，达到提高喷涂结合强度的目的。</w:t>
      </w:r>
    </w:p>
    <w:p>
      <w:pPr>
        <w:spacing w:line="360" w:lineRule="auto"/>
        <w:ind w:firstLine="600" w:firstLineChars="250"/>
        <w:rPr>
          <w:sz w:val="24"/>
          <w:szCs w:val="24"/>
        </w:rPr>
      </w:pPr>
      <w:r>
        <w:rPr>
          <w:sz w:val="24"/>
          <w:szCs w:val="24"/>
        </w:rPr>
        <w:t>3) 对进行过处理后的基体表面，达不到清洁度标准要求的局部区域，应进行补喷。</w:t>
      </w:r>
    </w:p>
    <w:p>
      <w:pPr>
        <w:spacing w:line="360" w:lineRule="auto"/>
        <w:ind w:firstLine="600" w:firstLineChars="250"/>
        <w:rPr>
          <w:sz w:val="24"/>
          <w:szCs w:val="24"/>
        </w:rPr>
      </w:pPr>
      <w:r>
        <w:rPr>
          <w:sz w:val="24"/>
          <w:szCs w:val="24"/>
        </w:rPr>
        <w:t>6.3.1.3 喷涂用砂要求：</w:t>
      </w:r>
    </w:p>
    <w:p>
      <w:pPr>
        <w:spacing w:line="360" w:lineRule="auto"/>
        <w:ind w:firstLine="600" w:firstLineChars="250"/>
        <w:rPr>
          <w:sz w:val="24"/>
          <w:szCs w:val="24"/>
        </w:rPr>
      </w:pPr>
      <w:r>
        <w:rPr>
          <w:sz w:val="24"/>
          <w:szCs w:val="24"/>
        </w:rPr>
        <w:t>1) 砂粒清洁而干燥；</w:t>
      </w:r>
    </w:p>
    <w:p>
      <w:pPr>
        <w:spacing w:line="360" w:lineRule="auto"/>
        <w:ind w:firstLine="600" w:firstLineChars="250"/>
        <w:rPr>
          <w:sz w:val="24"/>
          <w:szCs w:val="24"/>
        </w:rPr>
      </w:pPr>
      <w:r>
        <w:rPr>
          <w:sz w:val="24"/>
          <w:szCs w:val="24"/>
        </w:rPr>
        <w:t>2) 砂粒中不应含油、长石和杂物等；</w:t>
      </w:r>
    </w:p>
    <w:p>
      <w:pPr>
        <w:spacing w:line="360" w:lineRule="auto"/>
        <w:ind w:firstLine="600" w:firstLineChars="250"/>
        <w:rPr>
          <w:sz w:val="24"/>
          <w:szCs w:val="24"/>
        </w:rPr>
      </w:pPr>
      <w:r>
        <w:rPr>
          <w:sz w:val="24"/>
          <w:szCs w:val="24"/>
        </w:rPr>
        <w:t>3) 砂粒应带有尖锐的棱角，砂子硬度应达到莫氏6.9—7.5；</w:t>
      </w:r>
    </w:p>
    <w:p>
      <w:pPr>
        <w:spacing w:line="360" w:lineRule="auto"/>
        <w:ind w:firstLine="600" w:firstLineChars="250"/>
        <w:rPr>
          <w:sz w:val="24"/>
          <w:szCs w:val="24"/>
        </w:rPr>
      </w:pPr>
      <w:r>
        <w:rPr>
          <w:sz w:val="24"/>
          <w:szCs w:val="24"/>
        </w:rPr>
        <w:t>4) 喷涂用砂只能一次性使用，不得重复使用。</w:t>
      </w:r>
    </w:p>
    <w:p>
      <w:pPr>
        <w:spacing w:line="360" w:lineRule="auto"/>
        <w:ind w:firstLine="600" w:firstLineChars="250"/>
        <w:rPr>
          <w:sz w:val="24"/>
          <w:szCs w:val="24"/>
        </w:rPr>
      </w:pPr>
      <w:r>
        <w:rPr>
          <w:sz w:val="24"/>
          <w:szCs w:val="24"/>
        </w:rPr>
        <w:t>6.3.1.4 喷砂用气要求：</w:t>
      </w:r>
    </w:p>
    <w:p>
      <w:pPr>
        <w:spacing w:line="360" w:lineRule="auto"/>
        <w:ind w:firstLine="600" w:firstLineChars="250"/>
        <w:rPr>
          <w:sz w:val="24"/>
          <w:szCs w:val="24"/>
        </w:rPr>
      </w:pPr>
      <w:r>
        <w:rPr>
          <w:sz w:val="24"/>
          <w:szCs w:val="24"/>
        </w:rPr>
        <w:t>1) 喷砂用压缩空气的制备，应能提供必需的压力和风量；</w:t>
      </w:r>
    </w:p>
    <w:p>
      <w:pPr>
        <w:spacing w:line="360" w:lineRule="auto"/>
        <w:ind w:firstLine="600" w:firstLineChars="250"/>
        <w:rPr>
          <w:sz w:val="24"/>
          <w:szCs w:val="24"/>
        </w:rPr>
      </w:pPr>
      <w:r>
        <w:rPr>
          <w:sz w:val="24"/>
          <w:szCs w:val="24"/>
        </w:rPr>
        <w:t>2) 压缩空气系统中应装置除油除水设备，确保无油、水及其他的污物；</w:t>
      </w:r>
    </w:p>
    <w:p>
      <w:pPr>
        <w:spacing w:line="360" w:lineRule="auto"/>
        <w:ind w:firstLine="600" w:firstLineChars="250"/>
        <w:rPr>
          <w:sz w:val="24"/>
          <w:szCs w:val="24"/>
        </w:rPr>
      </w:pPr>
      <w:r>
        <w:rPr>
          <w:sz w:val="24"/>
          <w:szCs w:val="24"/>
        </w:rPr>
        <w:t>6.3.1.5 喷砂操作要求：操作人员应严格按照施工工艺要求进行操作，应保证不对基材造成损伤性磨损。</w:t>
      </w:r>
    </w:p>
    <w:p>
      <w:pPr>
        <w:spacing w:line="360" w:lineRule="auto"/>
        <w:ind w:firstLine="600" w:firstLineChars="250"/>
        <w:rPr>
          <w:sz w:val="24"/>
          <w:szCs w:val="24"/>
        </w:rPr>
      </w:pPr>
      <w:r>
        <w:rPr>
          <w:sz w:val="24"/>
          <w:szCs w:val="24"/>
        </w:rPr>
        <w:t>6.3.2 喷涂施工</w:t>
      </w:r>
    </w:p>
    <w:p>
      <w:pPr>
        <w:spacing w:line="360" w:lineRule="auto"/>
        <w:ind w:firstLine="600" w:firstLineChars="250"/>
        <w:rPr>
          <w:sz w:val="24"/>
          <w:szCs w:val="24"/>
        </w:rPr>
      </w:pPr>
      <w:r>
        <w:rPr>
          <w:sz w:val="24"/>
          <w:szCs w:val="24"/>
        </w:rPr>
        <w:t>6.3.2.1喷砂后经检查合格的炉管表面及时进行金属喷涂防止二次污染，经喷砂后的炉管与金属喷涂作业间隔时间不得超过4小时，环境湿度大于85%的经喷砂后的炉管与金属喷涂间隔时间不得超过2小时必须进行金属喷涂作业。</w:t>
      </w:r>
    </w:p>
    <w:p>
      <w:pPr>
        <w:spacing w:line="360" w:lineRule="auto"/>
        <w:ind w:firstLine="600" w:firstLineChars="250"/>
        <w:rPr>
          <w:sz w:val="24"/>
          <w:szCs w:val="24"/>
        </w:rPr>
      </w:pPr>
      <w:r>
        <w:rPr>
          <w:sz w:val="24"/>
          <w:szCs w:val="24"/>
        </w:rPr>
        <w:t>6.3.2.2 若喷涂时发现外观有明显的缺陷，应立即停止喷涂，对于缺陷部位必须重新进行喷砂预处理；若发现水冷壁管有明显的缺陷，应立即停止喷涂并通报招标方，待水冷壁管缺陷处理合格后，重新喷砂预处理。</w:t>
      </w:r>
    </w:p>
    <w:p>
      <w:pPr>
        <w:spacing w:line="360" w:lineRule="auto"/>
        <w:ind w:firstLine="600" w:firstLineChars="250"/>
        <w:rPr>
          <w:sz w:val="24"/>
          <w:szCs w:val="24"/>
        </w:rPr>
      </w:pPr>
      <w:r>
        <w:rPr>
          <w:sz w:val="24"/>
          <w:szCs w:val="24"/>
        </w:rPr>
        <w:t>6.3.2.3 喷涂过程中应控制基材温度，防止水冷壁管基材组织发生变化和产生不良影响（如热裂纹等）。</w:t>
      </w:r>
    </w:p>
    <w:p>
      <w:pPr>
        <w:spacing w:line="360" w:lineRule="auto"/>
        <w:ind w:firstLine="600" w:firstLineChars="250"/>
        <w:rPr>
          <w:sz w:val="24"/>
          <w:szCs w:val="24"/>
        </w:rPr>
      </w:pPr>
      <w:r>
        <w:rPr>
          <w:sz w:val="24"/>
          <w:szCs w:val="24"/>
        </w:rPr>
        <w:t>6.3.2.4 喷涂工艺应避免涂层开裂和剥落，其喷涂工艺应使涂层与基材在界面处形成冶金结合结构，保证涂层具有非常好的结合强度。</w:t>
      </w:r>
    </w:p>
    <w:p>
      <w:pPr>
        <w:spacing w:line="360" w:lineRule="auto"/>
        <w:ind w:firstLine="600" w:firstLineChars="250"/>
        <w:rPr>
          <w:sz w:val="24"/>
          <w:szCs w:val="24"/>
        </w:rPr>
      </w:pPr>
      <w:r>
        <w:rPr>
          <w:sz w:val="24"/>
          <w:szCs w:val="24"/>
        </w:rPr>
        <w:t>6.3.2.6喷涂外观应均匀一致，无气孔或底材裸露的斑点，没有未附着或附着不牢固的金属熔融颗粒和影响喷涂使用寿命及应用的一切缺陷。</w:t>
      </w:r>
    </w:p>
    <w:p>
      <w:pPr>
        <w:spacing w:line="360" w:lineRule="auto"/>
        <w:ind w:firstLine="600" w:firstLineChars="250"/>
        <w:rPr>
          <w:sz w:val="24"/>
          <w:szCs w:val="24"/>
        </w:rPr>
      </w:pPr>
      <w:r>
        <w:rPr>
          <w:sz w:val="24"/>
          <w:szCs w:val="24"/>
        </w:rPr>
        <w:t xml:space="preserve">6.3.2.7在喷涂区域与非喷涂区域交界处因为局部突起而在水冷壁管处产生新磨损点，在喷涂施工时，在交界处将涂层设计成过渡形式，在过渡区内涂层由厚到薄均匀过渡，过渡范围100mm 左右。 </w:t>
      </w:r>
    </w:p>
    <w:p>
      <w:pPr>
        <w:spacing w:line="360" w:lineRule="auto"/>
        <w:ind w:firstLine="600" w:firstLineChars="250"/>
        <w:rPr>
          <w:sz w:val="24"/>
          <w:szCs w:val="24"/>
        </w:rPr>
      </w:pPr>
      <w:r>
        <w:rPr>
          <w:sz w:val="24"/>
          <w:szCs w:val="24"/>
        </w:rPr>
        <w:t>6.3.2.8涂层性能保证值：</w:t>
      </w:r>
    </w:p>
    <w:p>
      <w:pPr>
        <w:numPr>
          <w:ilvl w:val="0"/>
          <w:numId w:val="5"/>
        </w:numPr>
        <w:spacing w:line="360" w:lineRule="auto"/>
        <w:rPr>
          <w:sz w:val="24"/>
        </w:rPr>
      </w:pPr>
      <w:r>
        <w:rPr>
          <w:sz w:val="24"/>
        </w:rPr>
        <w:t xml:space="preserve">喷涂涂层厚度：0.3-0.5mm </w:t>
      </w:r>
    </w:p>
    <w:p>
      <w:pPr>
        <w:numPr>
          <w:ilvl w:val="0"/>
          <w:numId w:val="5"/>
        </w:numPr>
        <w:spacing w:line="360" w:lineRule="auto"/>
        <w:rPr>
          <w:sz w:val="24"/>
        </w:rPr>
      </w:pPr>
      <w:r>
        <w:rPr>
          <w:sz w:val="24"/>
        </w:rPr>
        <w:t>涂层的洛氏硬度：HRC≥35</w:t>
      </w:r>
    </w:p>
    <w:p>
      <w:pPr>
        <w:numPr>
          <w:ilvl w:val="0"/>
          <w:numId w:val="5"/>
        </w:numPr>
        <w:spacing w:line="360" w:lineRule="auto"/>
        <w:rPr>
          <w:sz w:val="24"/>
        </w:rPr>
      </w:pPr>
      <w:r>
        <w:rPr>
          <w:sz w:val="24"/>
        </w:rPr>
        <w:t>涂层的结合强度：≥60MPa</w:t>
      </w:r>
    </w:p>
    <w:p>
      <w:pPr>
        <w:numPr>
          <w:ilvl w:val="0"/>
          <w:numId w:val="5"/>
        </w:numPr>
        <w:spacing w:line="360" w:lineRule="auto"/>
        <w:rPr>
          <w:sz w:val="24"/>
        </w:rPr>
      </w:pPr>
      <w:r>
        <w:rPr>
          <w:sz w:val="24"/>
        </w:rPr>
        <w:t>涂层的氧化物含量：＜2%</w:t>
      </w:r>
    </w:p>
    <w:p>
      <w:pPr>
        <w:numPr>
          <w:ilvl w:val="0"/>
          <w:numId w:val="5"/>
        </w:numPr>
        <w:spacing w:line="360" w:lineRule="auto"/>
        <w:rPr>
          <w:sz w:val="24"/>
        </w:rPr>
      </w:pPr>
      <w:r>
        <w:rPr>
          <w:sz w:val="24"/>
        </w:rPr>
        <w:t>喷涂时受热面的最高表面温度：≤100℃</w:t>
      </w:r>
    </w:p>
    <w:p>
      <w:pPr>
        <w:numPr>
          <w:ilvl w:val="0"/>
          <w:numId w:val="5"/>
        </w:numPr>
        <w:spacing w:line="360" w:lineRule="auto"/>
        <w:rPr>
          <w:sz w:val="24"/>
        </w:rPr>
      </w:pPr>
      <w:r>
        <w:rPr>
          <w:sz w:val="24"/>
        </w:rPr>
        <w:t>涂层耐温1200℃</w:t>
      </w:r>
    </w:p>
    <w:p>
      <w:pPr>
        <w:numPr>
          <w:ilvl w:val="0"/>
          <w:numId w:val="5"/>
        </w:numPr>
        <w:spacing w:line="360" w:lineRule="auto"/>
        <w:rPr>
          <w:sz w:val="24"/>
        </w:rPr>
      </w:pPr>
      <w:r>
        <w:rPr>
          <w:sz w:val="24"/>
        </w:rPr>
        <w:t>孔隙率：&lt;1%</w:t>
      </w:r>
    </w:p>
    <w:p>
      <w:pPr>
        <w:spacing w:line="360" w:lineRule="auto"/>
        <w:ind w:firstLine="480" w:firstLineChars="200"/>
        <w:rPr>
          <w:sz w:val="24"/>
        </w:rPr>
      </w:pPr>
      <w:r>
        <w:rPr>
          <w:sz w:val="24"/>
        </w:rPr>
        <w:t>涂层验收后，在机组运行使用1年内不应出现涂层脱落等缺陷，使用寿命保证4年。</w:t>
      </w:r>
    </w:p>
    <w:p>
      <w:pPr>
        <w:spacing w:line="360" w:lineRule="auto"/>
        <w:ind w:firstLine="600" w:firstLineChars="250"/>
        <w:rPr>
          <w:sz w:val="24"/>
          <w:szCs w:val="24"/>
        </w:rPr>
      </w:pPr>
      <w:r>
        <w:rPr>
          <w:sz w:val="24"/>
          <w:szCs w:val="24"/>
        </w:rPr>
        <w:t>6.3.3 涂层封闭或涂装</w:t>
      </w:r>
    </w:p>
    <w:p>
      <w:pPr>
        <w:spacing w:line="360" w:lineRule="auto"/>
        <w:ind w:firstLine="600" w:firstLineChars="250"/>
        <w:rPr>
          <w:sz w:val="24"/>
          <w:szCs w:val="24"/>
        </w:rPr>
      </w:pPr>
      <w:r>
        <w:rPr>
          <w:sz w:val="24"/>
          <w:szCs w:val="24"/>
        </w:rPr>
        <w:t>6.3.3.1 涂层封闭或涂装：可采用手工涂刷、滚刷、气喷涂等方法。</w:t>
      </w:r>
    </w:p>
    <w:p>
      <w:pPr>
        <w:spacing w:line="360" w:lineRule="auto"/>
        <w:ind w:firstLine="600" w:firstLineChars="250"/>
        <w:rPr>
          <w:sz w:val="24"/>
          <w:szCs w:val="24"/>
        </w:rPr>
      </w:pPr>
      <w:r>
        <w:rPr>
          <w:sz w:val="24"/>
          <w:szCs w:val="24"/>
        </w:rPr>
        <w:t>1) 封闭：对金属涂层进行封孔，其目的是尽可能地将涂层孔隙堵住，并填平其凹坑，以延长涂层的使用寿命。</w:t>
      </w:r>
    </w:p>
    <w:p>
      <w:pPr>
        <w:spacing w:line="360" w:lineRule="auto"/>
        <w:ind w:firstLine="600" w:firstLineChars="250"/>
        <w:rPr>
          <w:sz w:val="24"/>
          <w:szCs w:val="24"/>
        </w:rPr>
      </w:pPr>
      <w:r>
        <w:rPr>
          <w:sz w:val="24"/>
          <w:szCs w:val="24"/>
        </w:rPr>
        <w:t>2) 涂装：为了美观或延长防护体系的使用寿命，可对已封闭或未封闭的金属涂层进行涂装。涂装体系应与金属涂层或封孔剂有相容性，便于保养且能持久地保持耐工况环境的要求。</w:t>
      </w:r>
    </w:p>
    <w:p>
      <w:pPr>
        <w:spacing w:line="360" w:lineRule="auto"/>
        <w:ind w:firstLine="600" w:firstLineChars="250"/>
        <w:rPr>
          <w:sz w:val="24"/>
          <w:szCs w:val="24"/>
        </w:rPr>
      </w:pPr>
      <w:r>
        <w:rPr>
          <w:sz w:val="24"/>
          <w:szCs w:val="24"/>
        </w:rPr>
        <w:t>6.3.3.2 封孔剂的选择</w:t>
      </w:r>
    </w:p>
    <w:p>
      <w:pPr>
        <w:spacing w:line="360" w:lineRule="auto"/>
        <w:ind w:firstLine="600" w:firstLineChars="250"/>
        <w:rPr>
          <w:sz w:val="24"/>
          <w:szCs w:val="24"/>
        </w:rPr>
      </w:pPr>
      <w:r>
        <w:rPr>
          <w:sz w:val="24"/>
          <w:szCs w:val="24"/>
        </w:rPr>
        <w:t>封孔剂的选择要考虑到：渗透性、结合力、过渡层、稳定性、安全性、切不能过多增加涂层厚度。</w:t>
      </w:r>
    </w:p>
    <w:p>
      <w:pPr>
        <w:spacing w:line="360" w:lineRule="auto"/>
        <w:ind w:firstLine="600" w:firstLineChars="250"/>
        <w:rPr>
          <w:sz w:val="24"/>
          <w:szCs w:val="24"/>
        </w:rPr>
      </w:pPr>
      <w:r>
        <w:rPr>
          <w:sz w:val="24"/>
          <w:szCs w:val="24"/>
        </w:rPr>
        <w:t>投标方在投标文件中，提供封孔剂：名称、主要成分、性能和施工工艺等。</w:t>
      </w:r>
    </w:p>
    <w:p>
      <w:pPr>
        <w:spacing w:line="360" w:lineRule="auto"/>
        <w:ind w:firstLine="600" w:firstLineChars="250"/>
        <w:rPr>
          <w:sz w:val="24"/>
          <w:szCs w:val="24"/>
        </w:rPr>
      </w:pPr>
      <w:r>
        <w:rPr>
          <w:sz w:val="24"/>
          <w:szCs w:val="24"/>
        </w:rPr>
        <w:t>6.3.3.3 涂装要求</w:t>
      </w:r>
    </w:p>
    <w:p>
      <w:pPr>
        <w:spacing w:line="360" w:lineRule="auto"/>
        <w:ind w:firstLine="600" w:firstLineChars="250"/>
        <w:rPr>
          <w:sz w:val="24"/>
          <w:szCs w:val="24"/>
        </w:rPr>
      </w:pPr>
      <w:r>
        <w:rPr>
          <w:sz w:val="24"/>
          <w:szCs w:val="24"/>
        </w:rPr>
        <w:t>1) 喷涂部位涂层厚度经检验合格，方可进行涂装。</w:t>
      </w:r>
    </w:p>
    <w:p>
      <w:pPr>
        <w:spacing w:line="360" w:lineRule="auto"/>
        <w:ind w:firstLine="600" w:firstLineChars="250"/>
        <w:rPr>
          <w:sz w:val="24"/>
          <w:szCs w:val="24"/>
        </w:rPr>
      </w:pPr>
      <w:r>
        <w:rPr>
          <w:sz w:val="24"/>
          <w:szCs w:val="24"/>
        </w:rPr>
        <w:t>2) 电弧喷涂后要在6小时内覆盖封孔剂或涂料涂层。</w:t>
      </w:r>
    </w:p>
    <w:p>
      <w:pPr>
        <w:spacing w:line="360" w:lineRule="auto"/>
        <w:ind w:firstLine="600" w:firstLineChars="250"/>
        <w:rPr>
          <w:sz w:val="24"/>
          <w:szCs w:val="24"/>
        </w:rPr>
      </w:pPr>
      <w:r>
        <w:rPr>
          <w:sz w:val="24"/>
          <w:szCs w:val="24"/>
        </w:rPr>
        <w:t>3) 涂层外观必须均匀，不得有起包、鼓包、颗粒粗大、裂纹、掉块、漏喷及其它影响涂层使用的缺陷。</w:t>
      </w:r>
    </w:p>
    <w:p>
      <w:pPr>
        <w:spacing w:line="360" w:lineRule="auto"/>
        <w:ind w:firstLine="600" w:firstLineChars="250"/>
        <w:rPr>
          <w:sz w:val="24"/>
          <w:szCs w:val="24"/>
        </w:rPr>
      </w:pPr>
      <w:r>
        <w:rPr>
          <w:sz w:val="24"/>
          <w:szCs w:val="24"/>
        </w:rPr>
        <w:t>4）涂层结合强度（涂层与基体）：采用拉刀检验，用拉刀在喷涂层上拉“#”字型拉痕，不得有片屑剥落。碰擦不得起皮、脱落。</w:t>
      </w:r>
    </w:p>
    <w:p>
      <w:pPr>
        <w:spacing w:line="360" w:lineRule="auto"/>
        <w:ind w:firstLine="600" w:firstLineChars="250"/>
        <w:rPr>
          <w:sz w:val="24"/>
          <w:szCs w:val="24"/>
        </w:rPr>
      </w:pPr>
      <w:r>
        <w:rPr>
          <w:sz w:val="24"/>
          <w:szCs w:val="24"/>
        </w:rPr>
        <w:t>6.4 检验验收及有关要求</w:t>
      </w:r>
    </w:p>
    <w:p>
      <w:pPr>
        <w:spacing w:line="360" w:lineRule="auto"/>
        <w:ind w:firstLine="600" w:firstLineChars="250"/>
        <w:rPr>
          <w:sz w:val="24"/>
          <w:szCs w:val="24"/>
        </w:rPr>
      </w:pPr>
      <w:r>
        <w:rPr>
          <w:sz w:val="24"/>
          <w:szCs w:val="24"/>
        </w:rPr>
        <w:t>6.4.1 材料检验验收及有关要求</w:t>
      </w:r>
    </w:p>
    <w:p>
      <w:pPr>
        <w:spacing w:line="360" w:lineRule="auto"/>
        <w:ind w:firstLine="600" w:firstLineChars="250"/>
        <w:rPr>
          <w:sz w:val="24"/>
          <w:szCs w:val="24"/>
        </w:rPr>
      </w:pPr>
      <w:r>
        <w:rPr>
          <w:sz w:val="24"/>
          <w:szCs w:val="24"/>
        </w:rPr>
        <w:t>6.4.1.1招标方提供材料采购合同原件，如采购合同虚假、材料及制造厂家与要求不符或价格与市场严重不符，按违反合同条款处理。如果发现过程中出现使用虚假材料，招标方将立即无条件终止合同。</w:t>
      </w:r>
    </w:p>
    <w:p>
      <w:pPr>
        <w:spacing w:line="360" w:lineRule="auto"/>
        <w:ind w:firstLine="600" w:firstLineChars="250"/>
        <w:rPr>
          <w:sz w:val="24"/>
          <w:szCs w:val="24"/>
        </w:rPr>
      </w:pPr>
      <w:r>
        <w:rPr>
          <w:sz w:val="24"/>
          <w:szCs w:val="24"/>
        </w:rPr>
        <w:t>6.4.1.2招标方在材料运到施工现场后，由投标单位、招标单位共同对材料进行随机取样3个，由投标方请具有检验资质单位（需招标方确认）的第三方对材料的元素成分进行分析，材料元素成分必须符合相关标准；如材料成分不合格，则无条件更换材料，本工程所有检测、试验费用由投标方负责。</w:t>
      </w:r>
    </w:p>
    <w:p>
      <w:pPr>
        <w:spacing w:line="360" w:lineRule="auto"/>
        <w:ind w:firstLine="600" w:firstLineChars="250"/>
        <w:rPr>
          <w:sz w:val="24"/>
          <w:szCs w:val="24"/>
        </w:rPr>
      </w:pPr>
      <w:r>
        <w:rPr>
          <w:sz w:val="24"/>
          <w:szCs w:val="24"/>
        </w:rPr>
        <w:t>6.4.1.3在施工过程中，招标方对施工材料随机进行抽样，进行材料成分化验，投标方应无条件配合。对随机抽样材料成分不合格的处理：投标方立即停止施工，并在最短的时间内更换合格材料；已喷涂部分按不合格处理，不合格喷涂部分需彻底清理干净，处理不合格部分施工所发生费用及对工期的影响，全部由投标方负责。如发现投标方有2次材料抽检不合格，招标方有权单方面解除合同，并由投标方承担相关损失。</w:t>
      </w:r>
    </w:p>
    <w:p>
      <w:pPr>
        <w:spacing w:line="360" w:lineRule="auto"/>
        <w:ind w:firstLine="600" w:firstLineChars="250"/>
        <w:rPr>
          <w:sz w:val="24"/>
          <w:szCs w:val="24"/>
        </w:rPr>
      </w:pPr>
      <w:r>
        <w:rPr>
          <w:sz w:val="24"/>
          <w:szCs w:val="24"/>
        </w:rPr>
        <w:t>6.4.2涂层检验验收及有关要求</w:t>
      </w:r>
    </w:p>
    <w:p>
      <w:pPr>
        <w:spacing w:line="360" w:lineRule="auto"/>
        <w:ind w:firstLine="600" w:firstLineChars="250"/>
        <w:rPr>
          <w:sz w:val="24"/>
          <w:szCs w:val="24"/>
        </w:rPr>
      </w:pPr>
      <w:r>
        <w:rPr>
          <w:sz w:val="24"/>
          <w:szCs w:val="24"/>
        </w:rPr>
        <w:t>现场验收：提出施工前，应满足以下要求：喷涂施工作业全部完成并自检合格；现场作业临时记录清晰、齐全；现场施工废弃物清理干净；项目竣工验收申请已递交。施工结束投标方招标方组织的联合验收并予以通过后，方能办理工作终结手续。</w:t>
      </w:r>
    </w:p>
    <w:p>
      <w:pPr>
        <w:spacing w:line="360" w:lineRule="auto"/>
        <w:ind w:firstLine="600" w:firstLineChars="250"/>
        <w:rPr>
          <w:sz w:val="24"/>
          <w:szCs w:val="24"/>
        </w:rPr>
      </w:pPr>
      <w:r>
        <w:rPr>
          <w:sz w:val="24"/>
          <w:szCs w:val="24"/>
        </w:rPr>
        <w:t>6.4.3实验室报告：投标方向招标方提交技术报告。为便于对现场喷涂涂层质量进行跟踪，在现场条件下对同步挂片试样进行喷涂，对涂层挂片试样进行了实验室检测，实验室选定必须通过招标方认可，试验项目根据上述测试标准要求，满足技术指标要求，有显微硬度测试、孔隙率测试、结合强度测试等，并提交涂层检测报告。</w:t>
      </w:r>
    </w:p>
    <w:p>
      <w:pPr>
        <w:spacing w:line="360" w:lineRule="auto"/>
        <w:ind w:firstLine="600" w:firstLineChars="250"/>
        <w:rPr>
          <w:sz w:val="24"/>
          <w:szCs w:val="24"/>
        </w:rPr>
      </w:pPr>
      <w:r>
        <w:rPr>
          <w:sz w:val="24"/>
          <w:szCs w:val="24"/>
        </w:rPr>
        <w:t>6.5 其他要求</w:t>
      </w:r>
    </w:p>
    <w:p>
      <w:pPr>
        <w:spacing w:line="360" w:lineRule="auto"/>
        <w:ind w:firstLine="600" w:firstLineChars="250"/>
        <w:rPr>
          <w:sz w:val="24"/>
          <w:szCs w:val="24"/>
        </w:rPr>
      </w:pPr>
      <w:r>
        <w:rPr>
          <w:sz w:val="24"/>
          <w:szCs w:val="24"/>
        </w:rPr>
        <w:t>6.5.1 投标方必须在投标文件中针对本工程喷涂区域选用的材料、工艺及所采取的施工措施进行专题论述。</w:t>
      </w:r>
    </w:p>
    <w:p>
      <w:pPr>
        <w:spacing w:line="360" w:lineRule="auto"/>
        <w:ind w:firstLine="600" w:firstLineChars="250"/>
        <w:rPr>
          <w:sz w:val="24"/>
          <w:szCs w:val="24"/>
        </w:rPr>
      </w:pPr>
      <w:r>
        <w:rPr>
          <w:sz w:val="24"/>
          <w:szCs w:val="24"/>
        </w:rPr>
        <w:t>6.5.2 投标方在投标文件中，针对本项目施工工期短的特点，提出如何保证施工进度的详细措施。</w:t>
      </w:r>
    </w:p>
    <w:p>
      <w:pPr>
        <w:spacing w:line="360" w:lineRule="auto"/>
        <w:ind w:firstLine="600" w:firstLineChars="250"/>
        <w:rPr>
          <w:sz w:val="24"/>
          <w:szCs w:val="24"/>
        </w:rPr>
      </w:pPr>
      <w:r>
        <w:rPr>
          <w:sz w:val="24"/>
          <w:szCs w:val="24"/>
        </w:rPr>
        <w:t>6.5.3设备投入运行后，招标方在机组检修期间，对涂层使用质量进行跟踪检查；一旦发现质量问题，招标方及时通知投标方，投标方应在24小时内派员到现场共同进行复查。投标方根据现场检查的情况，于2日内向招标方提供可行的处理方案和措施。</w:t>
      </w:r>
    </w:p>
    <w:p>
      <w:pPr>
        <w:spacing w:line="360" w:lineRule="auto"/>
        <w:ind w:firstLine="600" w:firstLineChars="250"/>
        <w:rPr>
          <w:sz w:val="24"/>
          <w:szCs w:val="24"/>
        </w:rPr>
      </w:pPr>
      <w:r>
        <w:rPr>
          <w:sz w:val="24"/>
          <w:szCs w:val="24"/>
        </w:rPr>
        <w:t>6.5.4</w:t>
      </w:r>
      <w:r>
        <w:rPr>
          <w:color w:val="FF0000"/>
          <w:sz w:val="24"/>
          <w:szCs w:val="24"/>
        </w:rPr>
        <w:t xml:space="preserve"> </w:t>
      </w:r>
      <w:r>
        <w:rPr>
          <w:sz w:val="24"/>
          <w:szCs w:val="24"/>
        </w:rPr>
        <w:t>涂层使用寿命≥4年，涂层有效保护保证期期内，因涂层质量原因造成喷涂部位水冷壁管出现爆管，其修复费用由投标方承担，并负责免费喷涂修复后的部位(含爆管后被冲刷破坏的部位)。</w:t>
      </w:r>
    </w:p>
    <w:p>
      <w:pPr>
        <w:spacing w:line="360" w:lineRule="auto"/>
        <w:ind w:firstLine="600" w:firstLineChars="250"/>
        <w:rPr>
          <w:sz w:val="24"/>
          <w:szCs w:val="24"/>
        </w:rPr>
      </w:pPr>
      <w:r>
        <w:rPr>
          <w:sz w:val="24"/>
          <w:szCs w:val="24"/>
        </w:rPr>
        <w:t>6.5.5投标方针对喷涂必须提出可靠的环保措施，应用专篇说明环保及卫生清扫的管理办法并实施，所产生的费用包含在投标总价中。因保护措施未到位造成其他工作面设备和环境污染的，由投标方负责打扫。</w:t>
      </w:r>
    </w:p>
    <w:p>
      <w:pPr>
        <w:pStyle w:val="8"/>
        <w:numPr>
          <w:ilvl w:val="0"/>
          <w:numId w:val="4"/>
        </w:numPr>
        <w:spacing w:line="360" w:lineRule="auto"/>
        <w:ind w:leftChars="0"/>
        <w:rPr>
          <w:b/>
          <w:sz w:val="32"/>
          <w:szCs w:val="32"/>
        </w:rPr>
      </w:pPr>
      <w:r>
        <w:rPr>
          <w:b/>
          <w:sz w:val="32"/>
          <w:szCs w:val="32"/>
        </w:rPr>
        <w:t>工程材料、机具</w:t>
      </w:r>
    </w:p>
    <w:p>
      <w:pPr>
        <w:spacing w:line="360" w:lineRule="auto"/>
        <w:ind w:firstLine="480" w:firstLineChars="200"/>
        <w:rPr>
          <w:sz w:val="24"/>
          <w:szCs w:val="24"/>
        </w:rPr>
      </w:pPr>
      <w:r>
        <w:rPr>
          <w:sz w:val="24"/>
          <w:szCs w:val="24"/>
        </w:rPr>
        <w:t>1、投标方自备喷涂所需主辅设备、材料，包括喷涂用工器具、喷涂用材料、金刚砂、棕刚玉、封孔剂等所有材料。</w:t>
      </w:r>
    </w:p>
    <w:p>
      <w:pPr>
        <w:spacing w:line="360" w:lineRule="auto"/>
        <w:ind w:firstLine="480" w:firstLineChars="200"/>
        <w:rPr>
          <w:sz w:val="24"/>
          <w:szCs w:val="24"/>
        </w:rPr>
      </w:pPr>
      <w:r>
        <w:rPr>
          <w:sz w:val="24"/>
          <w:szCs w:val="24"/>
        </w:rPr>
        <w:t>2、招标方在条件具备(允许)情况下，协助提供适当之安排及必需之辅助或工具，以便顺利完成工作。</w:t>
      </w:r>
    </w:p>
    <w:p>
      <w:pPr>
        <w:pStyle w:val="8"/>
        <w:numPr>
          <w:ilvl w:val="0"/>
          <w:numId w:val="4"/>
        </w:numPr>
        <w:spacing w:line="360" w:lineRule="auto"/>
        <w:ind w:leftChars="0"/>
        <w:rPr>
          <w:b/>
          <w:sz w:val="32"/>
          <w:szCs w:val="32"/>
        </w:rPr>
      </w:pPr>
      <w:r>
        <w:rPr>
          <w:b/>
          <w:sz w:val="32"/>
          <w:szCs w:val="32"/>
        </w:rPr>
        <w:t>工期要求</w:t>
      </w:r>
    </w:p>
    <w:p>
      <w:pPr>
        <w:spacing w:line="360" w:lineRule="auto"/>
        <w:ind w:firstLine="480" w:firstLineChars="200"/>
        <w:rPr>
          <w:sz w:val="24"/>
          <w:szCs w:val="24"/>
          <w:shd w:val="clear" w:color="FFFFFF" w:fill="D9D9D9"/>
        </w:rPr>
      </w:pPr>
      <w:r>
        <w:rPr>
          <w:sz w:val="24"/>
          <w:szCs w:val="24"/>
        </w:rPr>
        <w:t>1、</w:t>
      </w:r>
      <w:r>
        <w:rPr>
          <w:sz w:val="24"/>
          <w:szCs w:val="24"/>
          <w:shd w:val="clear" w:color="FFFFFF" w:fill="D9D9D9"/>
        </w:rPr>
        <w:t>本技术规范书要求施工工期为</w:t>
      </w:r>
      <w:r>
        <w:rPr>
          <w:rFonts w:hint="eastAsia"/>
          <w:sz w:val="24"/>
          <w:szCs w:val="24"/>
          <w:shd w:val="clear" w:color="FFFFFF" w:fill="D9D9D9"/>
        </w:rPr>
        <w:t>3</w:t>
      </w:r>
      <w:r>
        <w:rPr>
          <w:sz w:val="24"/>
          <w:szCs w:val="24"/>
          <w:shd w:val="clear" w:color="FFFFFF" w:fill="D9D9D9"/>
        </w:rPr>
        <w:t>天，</w:t>
      </w:r>
      <w:r>
        <w:rPr>
          <w:rFonts w:hint="eastAsia"/>
          <w:sz w:val="24"/>
          <w:szCs w:val="24"/>
          <w:shd w:val="clear" w:color="FFFFFF" w:fill="D9D9D9"/>
        </w:rPr>
        <w:t>具体施工工期以现场实际要求为准，投标方应在招标方通知中标后2</w:t>
      </w:r>
      <w:r>
        <w:rPr>
          <w:sz w:val="24"/>
          <w:szCs w:val="24"/>
          <w:shd w:val="clear" w:color="FFFFFF" w:fill="D9D9D9"/>
        </w:rPr>
        <w:t>4</w:t>
      </w:r>
      <w:r>
        <w:rPr>
          <w:rFonts w:hint="eastAsia"/>
          <w:sz w:val="24"/>
          <w:szCs w:val="24"/>
          <w:shd w:val="clear" w:color="FFFFFF" w:fill="D9D9D9"/>
        </w:rPr>
        <w:t>小时内即具备现场施工条件，接到通知后随时可以开始施工。</w:t>
      </w:r>
    </w:p>
    <w:p>
      <w:pPr>
        <w:spacing w:line="360" w:lineRule="auto"/>
        <w:ind w:firstLine="480" w:firstLineChars="200"/>
        <w:rPr>
          <w:sz w:val="24"/>
          <w:szCs w:val="24"/>
        </w:rPr>
      </w:pPr>
      <w:r>
        <w:rPr>
          <w:sz w:val="24"/>
          <w:szCs w:val="24"/>
        </w:rPr>
        <w:t>2、投标方的喷涂施工作业主要安排于夜间进行，不得影响招标方的其他炉内检修作业。</w:t>
      </w:r>
    </w:p>
    <w:p>
      <w:pPr>
        <w:spacing w:line="360" w:lineRule="auto"/>
        <w:ind w:firstLine="480" w:firstLineChars="200"/>
        <w:rPr>
          <w:sz w:val="24"/>
          <w:szCs w:val="24"/>
        </w:rPr>
      </w:pPr>
      <w:r>
        <w:rPr>
          <w:sz w:val="24"/>
          <w:szCs w:val="24"/>
        </w:rPr>
        <w:t>3、现场施工时，投标方应完全按照招标方的进度要求来进行安排，能保证按期完工。</w:t>
      </w:r>
    </w:p>
    <w:p>
      <w:pPr>
        <w:pStyle w:val="8"/>
        <w:numPr>
          <w:ilvl w:val="0"/>
          <w:numId w:val="4"/>
        </w:numPr>
        <w:spacing w:line="360" w:lineRule="auto"/>
        <w:ind w:leftChars="0"/>
        <w:rPr>
          <w:b/>
          <w:sz w:val="32"/>
          <w:szCs w:val="32"/>
        </w:rPr>
      </w:pPr>
      <w:r>
        <w:rPr>
          <w:b/>
          <w:sz w:val="32"/>
          <w:szCs w:val="32"/>
        </w:rPr>
        <w:t>工程质量验收</w:t>
      </w:r>
    </w:p>
    <w:p>
      <w:pPr>
        <w:spacing w:line="360" w:lineRule="auto"/>
        <w:ind w:firstLine="480" w:firstLineChars="200"/>
        <w:rPr>
          <w:sz w:val="24"/>
          <w:szCs w:val="24"/>
        </w:rPr>
      </w:pPr>
      <w:r>
        <w:rPr>
          <w:sz w:val="24"/>
          <w:szCs w:val="24"/>
        </w:rPr>
        <w:t>1、验收程序</w:t>
      </w:r>
    </w:p>
    <w:p>
      <w:pPr>
        <w:spacing w:line="360" w:lineRule="auto"/>
        <w:ind w:firstLine="600" w:firstLineChars="250"/>
        <w:rPr>
          <w:sz w:val="24"/>
          <w:szCs w:val="24"/>
        </w:rPr>
      </w:pPr>
      <w:r>
        <w:rPr>
          <w:sz w:val="24"/>
          <w:szCs w:val="24"/>
        </w:rPr>
        <w:t>1.1验收执行三级验收制度，即班组、部门、厂部，根据国家工程质量验收标准以及招标方工程验收有关规定进行相应的分级验收，由工程项目部门组织验收。</w:t>
      </w:r>
    </w:p>
    <w:p>
      <w:pPr>
        <w:spacing w:line="360" w:lineRule="auto"/>
        <w:ind w:firstLine="480" w:firstLineChars="200"/>
        <w:rPr>
          <w:sz w:val="24"/>
          <w:szCs w:val="24"/>
        </w:rPr>
      </w:pPr>
      <w:r>
        <w:rPr>
          <w:sz w:val="24"/>
          <w:szCs w:val="24"/>
        </w:rPr>
        <w:t>2、验收依据</w:t>
      </w:r>
    </w:p>
    <w:p>
      <w:pPr>
        <w:spacing w:line="360" w:lineRule="auto"/>
        <w:ind w:firstLine="480" w:firstLineChars="200"/>
        <w:rPr>
          <w:sz w:val="24"/>
          <w:szCs w:val="24"/>
        </w:rPr>
      </w:pPr>
      <w:r>
        <w:rPr>
          <w:sz w:val="24"/>
          <w:szCs w:val="24"/>
        </w:rPr>
        <w:t>2.1参照第二项执行的标准</w:t>
      </w:r>
    </w:p>
    <w:p>
      <w:pPr>
        <w:spacing w:line="360" w:lineRule="auto"/>
        <w:ind w:firstLine="480" w:firstLineChars="200"/>
        <w:rPr>
          <w:color w:val="000000"/>
          <w:sz w:val="24"/>
          <w:szCs w:val="24"/>
        </w:rPr>
      </w:pPr>
      <w:r>
        <w:rPr>
          <w:color w:val="000000"/>
          <w:sz w:val="24"/>
          <w:szCs w:val="24"/>
        </w:rPr>
        <w:t xml:space="preserve">3、质量管理 </w:t>
      </w:r>
    </w:p>
    <w:p>
      <w:pPr>
        <w:spacing w:line="360" w:lineRule="auto"/>
        <w:ind w:firstLine="480" w:firstLineChars="200"/>
        <w:rPr>
          <w:color w:val="000000"/>
          <w:sz w:val="24"/>
          <w:szCs w:val="24"/>
        </w:rPr>
      </w:pPr>
      <w:r>
        <w:rPr>
          <w:color w:val="000000"/>
          <w:sz w:val="24"/>
          <w:szCs w:val="24"/>
        </w:rPr>
        <w:t>3.1施工过程中，投标方安排专门的人员进行质量监督，时刻检查施工过程中既定工艺的执行情况，随时检测涂层的表面质量和涂层厚度，如有问题，立即着手解决，确保涂层质量良好。当喷涂工作完成后，再进行系统的涂层质量及涂层厚度检测，达到要求才交付招标方验收。</w:t>
      </w:r>
    </w:p>
    <w:p>
      <w:pPr>
        <w:spacing w:line="360" w:lineRule="auto"/>
        <w:ind w:firstLine="480" w:firstLineChars="200"/>
        <w:rPr>
          <w:color w:val="000000"/>
          <w:sz w:val="24"/>
          <w:szCs w:val="24"/>
        </w:rPr>
      </w:pPr>
      <w:r>
        <w:rPr>
          <w:color w:val="000000"/>
          <w:sz w:val="24"/>
          <w:szCs w:val="24"/>
        </w:rPr>
        <w:t>3.2工序检查验收流程图如下图所示。</w:t>
      </w:r>
    </w:p>
    <w:p>
      <w:pPr>
        <w:snapToGrid w:val="0"/>
        <w:spacing w:line="360" w:lineRule="auto"/>
        <w:ind w:right="98" w:firstLine="1560" w:firstLineChars="650"/>
        <w:jc w:val="center"/>
        <w:rPr>
          <w:sz w:val="24"/>
          <w:szCs w:val="24"/>
        </w:rPr>
      </w:pPr>
      <w:r>
        <w:rPr>
          <w:sz w:val="24"/>
          <w:szCs w:val="24"/>
        </w:rPr>
        <w:drawing>
          <wp:inline distT="0" distB="0" distL="0" distR="0">
            <wp:extent cx="2108200" cy="2089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108200" cy="2089150"/>
                    </a:xfrm>
                    <a:prstGeom prst="rect">
                      <a:avLst/>
                    </a:prstGeom>
                    <a:noFill/>
                    <a:ln>
                      <a:noFill/>
                    </a:ln>
                  </pic:spPr>
                </pic:pic>
              </a:graphicData>
            </a:graphic>
          </wp:inline>
        </w:drawing>
      </w:r>
    </w:p>
    <w:p>
      <w:pPr>
        <w:snapToGrid w:val="0"/>
        <w:spacing w:line="360" w:lineRule="auto"/>
        <w:ind w:right="98" w:firstLine="480" w:firstLineChars="200"/>
        <w:jc w:val="center"/>
        <w:rPr>
          <w:sz w:val="24"/>
          <w:szCs w:val="24"/>
        </w:rPr>
      </w:pPr>
      <w:r>
        <w:rPr>
          <w:sz w:val="24"/>
          <w:szCs w:val="24"/>
        </w:rPr>
        <w:t>工序检查验收流程图</w:t>
      </w:r>
    </w:p>
    <w:p>
      <w:pPr>
        <w:spacing w:line="360" w:lineRule="auto"/>
        <w:ind w:firstLine="480" w:firstLineChars="200"/>
        <w:rPr>
          <w:color w:val="000000"/>
          <w:sz w:val="24"/>
          <w:szCs w:val="24"/>
        </w:rPr>
      </w:pPr>
    </w:p>
    <w:p>
      <w:pPr>
        <w:spacing w:line="360" w:lineRule="auto"/>
        <w:ind w:firstLine="480" w:firstLineChars="200"/>
        <w:rPr>
          <w:color w:val="000000"/>
          <w:sz w:val="24"/>
          <w:szCs w:val="24"/>
        </w:rPr>
      </w:pPr>
      <w:r>
        <w:rPr>
          <w:color w:val="000000"/>
          <w:sz w:val="24"/>
          <w:szCs w:val="24"/>
        </w:rPr>
        <w:t>3.3施工前投标方应向招标方提交喷涂技术方案、工艺措施及质量保证计划，介绍要进行的监控程序及质量标准。并接受招标方现场检查，随时纠正与规范不符之处，并及时进行处理。</w:t>
      </w:r>
    </w:p>
    <w:p>
      <w:pPr>
        <w:spacing w:line="360" w:lineRule="auto"/>
        <w:ind w:firstLine="480" w:firstLineChars="200"/>
        <w:rPr>
          <w:color w:val="000000"/>
          <w:sz w:val="24"/>
          <w:szCs w:val="24"/>
        </w:rPr>
      </w:pPr>
      <w:r>
        <w:rPr>
          <w:color w:val="000000"/>
          <w:sz w:val="24"/>
          <w:szCs w:val="24"/>
        </w:rPr>
        <w:t>3.4过程中检查和检验资料保存完整并及时地提交给招标方，发现问题及时向招标方汇报。对重要的环节检查，应由招标方验收认可后，方可进行下道工序。</w:t>
      </w:r>
    </w:p>
    <w:p>
      <w:pPr>
        <w:spacing w:line="360" w:lineRule="auto"/>
        <w:ind w:firstLine="480" w:firstLineChars="200"/>
        <w:rPr>
          <w:color w:val="000000"/>
          <w:sz w:val="24"/>
          <w:szCs w:val="24"/>
        </w:rPr>
      </w:pPr>
      <w:r>
        <w:rPr>
          <w:color w:val="000000"/>
          <w:sz w:val="24"/>
          <w:szCs w:val="24"/>
        </w:rPr>
        <w:t>3.5 施工过程中如出现质量和性能与标准不符或不满足招标方有关要求时，施工方应负责修理、返工，直至合格。</w:t>
      </w:r>
    </w:p>
    <w:p>
      <w:pPr>
        <w:spacing w:line="360" w:lineRule="auto"/>
        <w:ind w:firstLine="480" w:firstLineChars="200"/>
        <w:rPr>
          <w:color w:val="000000"/>
          <w:sz w:val="24"/>
          <w:szCs w:val="24"/>
        </w:rPr>
      </w:pPr>
      <w:r>
        <w:rPr>
          <w:color w:val="000000"/>
          <w:sz w:val="24"/>
          <w:szCs w:val="24"/>
        </w:rPr>
        <w:t>3.6施工质量管理计划检查各工序及质量（包括选用的材料），应符合合同的要求和规定。</w:t>
      </w:r>
    </w:p>
    <w:p>
      <w:pPr>
        <w:pStyle w:val="8"/>
        <w:numPr>
          <w:ilvl w:val="0"/>
          <w:numId w:val="4"/>
        </w:numPr>
        <w:spacing w:line="360" w:lineRule="auto"/>
        <w:ind w:leftChars="0"/>
        <w:rPr>
          <w:b/>
          <w:sz w:val="32"/>
          <w:szCs w:val="32"/>
        </w:rPr>
      </w:pPr>
      <w:r>
        <w:rPr>
          <w:b/>
          <w:sz w:val="32"/>
          <w:szCs w:val="32"/>
        </w:rPr>
        <w:t>工程安全措施</w:t>
      </w:r>
    </w:p>
    <w:p>
      <w:pPr>
        <w:pStyle w:val="8"/>
        <w:spacing w:line="360" w:lineRule="auto"/>
        <w:ind w:left="0" w:leftChars="0" w:firstLine="480" w:firstLineChars="200"/>
        <w:rPr>
          <w:sz w:val="24"/>
          <w:szCs w:val="24"/>
        </w:rPr>
      </w:pPr>
      <w:r>
        <w:rPr>
          <w:sz w:val="24"/>
          <w:szCs w:val="24"/>
        </w:rPr>
        <w:t xml:space="preserve">1、严格按招标方《安全管理考核规定》施工； </w:t>
      </w:r>
    </w:p>
    <w:p>
      <w:pPr>
        <w:pStyle w:val="8"/>
        <w:spacing w:line="360" w:lineRule="auto"/>
        <w:ind w:left="0" w:leftChars="0" w:firstLine="480" w:firstLineChars="200"/>
        <w:rPr>
          <w:sz w:val="24"/>
          <w:szCs w:val="24"/>
        </w:rPr>
      </w:pPr>
      <w:r>
        <w:rPr>
          <w:sz w:val="24"/>
          <w:szCs w:val="24"/>
        </w:rPr>
        <w:t>2、安全管理</w:t>
      </w:r>
    </w:p>
    <w:p>
      <w:pPr>
        <w:pStyle w:val="8"/>
        <w:spacing w:line="360" w:lineRule="auto"/>
        <w:ind w:left="0" w:leftChars="0" w:firstLine="480" w:firstLineChars="200"/>
        <w:rPr>
          <w:sz w:val="24"/>
          <w:szCs w:val="24"/>
        </w:rPr>
      </w:pPr>
      <w:r>
        <w:rPr>
          <w:sz w:val="24"/>
          <w:szCs w:val="24"/>
        </w:rPr>
        <w:t>2.1由于锅炉受热面喷涂属高空作业，根据招标方提出的安全生产要求，投标方坚决做到安全文明生产，保工期、保质量。</w:t>
      </w:r>
    </w:p>
    <w:p>
      <w:pPr>
        <w:pStyle w:val="8"/>
        <w:spacing w:line="360" w:lineRule="auto"/>
        <w:ind w:left="0" w:leftChars="0" w:firstLine="480" w:firstLineChars="200"/>
        <w:rPr>
          <w:sz w:val="24"/>
          <w:szCs w:val="24"/>
        </w:rPr>
      </w:pPr>
      <w:r>
        <w:rPr>
          <w:sz w:val="24"/>
          <w:szCs w:val="24"/>
        </w:rPr>
        <w:t>2.2上岗前穿好防护服，戴好安全帽，戴好专用防护口罩。高空作业时系好安全带。严格贯彻执行入厂时安全教育规定，遵守厂纪、厂规。施工时做到“四不伤害”即不伤害自己，不伤害他人，不被他人伤害，保护他人不被伤害，做到人人讲安全，处处注意安全；现场严禁吸烟，严禁酒后上岗。</w:t>
      </w:r>
    </w:p>
    <w:p>
      <w:pPr>
        <w:pStyle w:val="8"/>
        <w:spacing w:line="360" w:lineRule="auto"/>
        <w:ind w:left="0" w:leftChars="0" w:firstLine="480" w:firstLineChars="200"/>
        <w:rPr>
          <w:sz w:val="24"/>
          <w:szCs w:val="24"/>
        </w:rPr>
      </w:pPr>
      <w:r>
        <w:rPr>
          <w:sz w:val="24"/>
          <w:szCs w:val="24"/>
        </w:rPr>
        <w:t>2.3施工现场必须保持清洁；施工现场要有足够的照明条件；施工所用的物资不准放置在门口、通道、楼梯和平台处，并用防火毯铺垫及覆盖。</w:t>
      </w:r>
    </w:p>
    <w:p>
      <w:pPr>
        <w:pStyle w:val="8"/>
        <w:spacing w:line="360" w:lineRule="auto"/>
        <w:ind w:left="0" w:leftChars="0" w:firstLine="480" w:firstLineChars="200"/>
        <w:rPr>
          <w:sz w:val="24"/>
          <w:szCs w:val="24"/>
        </w:rPr>
      </w:pPr>
      <w:r>
        <w:rPr>
          <w:sz w:val="24"/>
          <w:szCs w:val="24"/>
        </w:rPr>
        <w:t>2.4使用的电线绝缘有破损不完整应立即找电工更换，否则不准使用，使用的流动电源必须有漏电保护装置。</w:t>
      </w:r>
    </w:p>
    <w:p>
      <w:pPr>
        <w:pStyle w:val="8"/>
        <w:spacing w:line="360" w:lineRule="auto"/>
        <w:ind w:left="0" w:leftChars="0" w:firstLine="480" w:firstLineChars="200"/>
        <w:rPr>
          <w:sz w:val="24"/>
          <w:szCs w:val="24"/>
        </w:rPr>
      </w:pPr>
      <w:r>
        <w:rPr>
          <w:sz w:val="24"/>
          <w:szCs w:val="24"/>
        </w:rPr>
        <w:t>2.5使用电气工具工作中，因故离开工作场所或暂时停止工作以及遇到临时停电时，须立即切断电源。</w:t>
      </w:r>
    </w:p>
    <w:p>
      <w:pPr>
        <w:pStyle w:val="8"/>
        <w:spacing w:line="360" w:lineRule="auto"/>
        <w:ind w:left="0" w:leftChars="0" w:firstLine="480" w:firstLineChars="200"/>
        <w:rPr>
          <w:sz w:val="24"/>
          <w:szCs w:val="24"/>
        </w:rPr>
      </w:pPr>
      <w:r>
        <w:rPr>
          <w:sz w:val="24"/>
          <w:szCs w:val="24"/>
        </w:rPr>
        <w:t>2.6开工前10日必须参加招标方安监部组织的工作票签发人及工作负责人考试，取得相应资格。开工时必须办理外包热力机械检修工作票，落实相关安全措施。</w:t>
      </w:r>
    </w:p>
    <w:p>
      <w:pPr>
        <w:pStyle w:val="8"/>
        <w:spacing w:line="360" w:lineRule="auto"/>
        <w:ind w:left="0" w:leftChars="0" w:firstLine="480" w:firstLineChars="200"/>
        <w:rPr>
          <w:sz w:val="24"/>
          <w:szCs w:val="24"/>
        </w:rPr>
      </w:pPr>
      <w:r>
        <w:rPr>
          <w:sz w:val="24"/>
          <w:szCs w:val="24"/>
        </w:rPr>
        <w:t>2.7高处作业均须采取防止坠落措施，方可进行。</w:t>
      </w:r>
    </w:p>
    <w:p>
      <w:pPr>
        <w:pStyle w:val="8"/>
        <w:spacing w:line="360" w:lineRule="auto"/>
        <w:ind w:left="0" w:leftChars="0" w:firstLine="480" w:firstLineChars="200"/>
        <w:rPr>
          <w:sz w:val="24"/>
          <w:szCs w:val="24"/>
        </w:rPr>
      </w:pPr>
      <w:r>
        <w:rPr>
          <w:sz w:val="24"/>
          <w:szCs w:val="24"/>
        </w:rPr>
        <w:t>2.8高处作业应一律使用工具袋。较大的工具应用绳拴在牢固的构件上，不准随便乱放，以防止从高空坠落发生事故。</w:t>
      </w:r>
    </w:p>
    <w:p>
      <w:pPr>
        <w:pStyle w:val="8"/>
        <w:spacing w:line="360" w:lineRule="auto"/>
        <w:ind w:left="0" w:leftChars="0" w:firstLine="480" w:firstLineChars="200"/>
        <w:rPr>
          <w:sz w:val="24"/>
          <w:szCs w:val="24"/>
        </w:rPr>
      </w:pPr>
      <w:r>
        <w:rPr>
          <w:sz w:val="24"/>
          <w:szCs w:val="24"/>
        </w:rPr>
        <w:t>2.9在进行高处工作时，除有关人员外，不准他人在工作地点的下面通行或逗留，工作地点下面应有围栏或装设其他保护装置，防止落物伤人。</w:t>
      </w:r>
    </w:p>
    <w:p>
      <w:pPr>
        <w:pStyle w:val="8"/>
        <w:spacing w:line="360" w:lineRule="auto"/>
        <w:ind w:left="0" w:leftChars="0" w:firstLine="480" w:firstLineChars="200"/>
        <w:rPr>
          <w:sz w:val="24"/>
          <w:szCs w:val="24"/>
        </w:rPr>
      </w:pPr>
      <w:r>
        <w:rPr>
          <w:sz w:val="24"/>
          <w:szCs w:val="24"/>
        </w:rPr>
        <w:t>3、 文明生产</w:t>
      </w:r>
    </w:p>
    <w:p>
      <w:pPr>
        <w:pStyle w:val="8"/>
        <w:spacing w:line="360" w:lineRule="auto"/>
        <w:ind w:left="0" w:leftChars="0" w:firstLine="480" w:firstLineChars="200"/>
        <w:rPr>
          <w:sz w:val="24"/>
          <w:szCs w:val="24"/>
        </w:rPr>
      </w:pPr>
      <w:r>
        <w:rPr>
          <w:sz w:val="24"/>
          <w:szCs w:val="24"/>
        </w:rPr>
        <w:t>3.1为保持良好的喷涂作业环境和喷涂质量，必须在施工现场搭设喷涂作业区域。喷涂作业区域应考虑存放喷涂设备和材料，且设备和材料的堆放，不得影响喷涂及其它检修作业施工。</w:t>
      </w:r>
    </w:p>
    <w:p>
      <w:pPr>
        <w:pStyle w:val="8"/>
        <w:spacing w:line="360" w:lineRule="auto"/>
        <w:ind w:left="0" w:leftChars="0" w:firstLine="480" w:firstLineChars="200"/>
        <w:rPr>
          <w:sz w:val="24"/>
          <w:szCs w:val="24"/>
        </w:rPr>
      </w:pPr>
      <w:r>
        <w:rPr>
          <w:sz w:val="24"/>
          <w:szCs w:val="24"/>
        </w:rPr>
        <w:t xml:space="preserve">3.2喷涂作业区域所需场地由招标方根据现场实际情况，尽可能合理地提供给投标方。 </w:t>
      </w:r>
    </w:p>
    <w:p>
      <w:pPr>
        <w:pStyle w:val="8"/>
        <w:spacing w:line="360" w:lineRule="auto"/>
        <w:ind w:left="0" w:leftChars="0" w:firstLine="480" w:firstLineChars="200"/>
        <w:rPr>
          <w:sz w:val="24"/>
          <w:szCs w:val="24"/>
        </w:rPr>
      </w:pPr>
      <w:r>
        <w:rPr>
          <w:sz w:val="24"/>
          <w:szCs w:val="24"/>
        </w:rPr>
        <w:t>3.3喷涂作业区域的内部及外观，必须满足喷涂作业及招标方的安全文明施工管理相关要求，做到场地日清。</w:t>
      </w:r>
    </w:p>
    <w:p>
      <w:pPr>
        <w:pStyle w:val="8"/>
        <w:spacing w:line="360" w:lineRule="auto"/>
        <w:ind w:left="0" w:leftChars="0" w:firstLine="480" w:firstLineChars="200"/>
        <w:rPr>
          <w:sz w:val="24"/>
          <w:szCs w:val="24"/>
        </w:rPr>
      </w:pPr>
      <w:r>
        <w:rPr>
          <w:sz w:val="24"/>
          <w:szCs w:val="24"/>
        </w:rPr>
        <w:t>4、安全措施费的列支</w:t>
      </w:r>
    </w:p>
    <w:p>
      <w:pPr>
        <w:pStyle w:val="8"/>
        <w:spacing w:line="360" w:lineRule="auto"/>
        <w:ind w:left="0" w:leftChars="0" w:firstLine="480" w:firstLineChars="200"/>
        <w:rPr>
          <w:sz w:val="24"/>
          <w:szCs w:val="24"/>
        </w:rPr>
      </w:pPr>
      <w:r>
        <w:rPr>
          <w:sz w:val="24"/>
          <w:szCs w:val="24"/>
        </w:rPr>
        <w:t>投标方需根据工程的实际列支安全器具、作业人员安全装备等安全措施费，在投标过程中在本节已列表形式详细列出。</w:t>
      </w:r>
    </w:p>
    <w:p>
      <w:pPr>
        <w:pStyle w:val="8"/>
        <w:numPr>
          <w:ilvl w:val="0"/>
          <w:numId w:val="4"/>
        </w:numPr>
        <w:spacing w:line="360" w:lineRule="auto"/>
        <w:ind w:leftChars="0"/>
        <w:rPr>
          <w:b/>
          <w:sz w:val="32"/>
          <w:szCs w:val="32"/>
        </w:rPr>
      </w:pPr>
      <w:r>
        <w:rPr>
          <w:b/>
          <w:sz w:val="32"/>
          <w:szCs w:val="32"/>
        </w:rPr>
        <w:t>施工组织与管理</w:t>
      </w:r>
    </w:p>
    <w:p>
      <w:pPr>
        <w:pStyle w:val="8"/>
        <w:spacing w:line="360" w:lineRule="auto"/>
        <w:ind w:left="0" w:leftChars="0" w:firstLine="480" w:firstLineChars="200"/>
        <w:rPr>
          <w:sz w:val="24"/>
          <w:szCs w:val="24"/>
        </w:rPr>
      </w:pPr>
      <w:r>
        <w:rPr>
          <w:sz w:val="24"/>
          <w:szCs w:val="24"/>
        </w:rPr>
        <w:t>1、人员管理</w:t>
      </w:r>
    </w:p>
    <w:p>
      <w:pPr>
        <w:pStyle w:val="8"/>
        <w:spacing w:line="360" w:lineRule="auto"/>
        <w:ind w:left="0" w:leftChars="0" w:firstLine="480" w:firstLineChars="200"/>
        <w:rPr>
          <w:sz w:val="24"/>
          <w:szCs w:val="24"/>
        </w:rPr>
      </w:pPr>
      <w:r>
        <w:rPr>
          <w:sz w:val="24"/>
          <w:szCs w:val="24"/>
        </w:rPr>
        <w:t>1.1 投标方应具有数量足够、专业配置齐全、结构合理的作业队伍。投标方在投标文件中提供拟参与本项目相关专业人员简历、业绩，并提供相关专业证书复印件。</w:t>
      </w:r>
    </w:p>
    <w:p>
      <w:pPr>
        <w:pStyle w:val="8"/>
        <w:spacing w:line="360" w:lineRule="auto"/>
        <w:ind w:left="0" w:leftChars="0" w:firstLine="480" w:firstLineChars="200"/>
        <w:rPr>
          <w:sz w:val="24"/>
          <w:szCs w:val="24"/>
        </w:rPr>
      </w:pPr>
      <w:r>
        <w:rPr>
          <w:sz w:val="24"/>
          <w:szCs w:val="24"/>
        </w:rPr>
        <w:t>1.2 喷涂作业人员应经“GB/T 19824-2005  热喷涂 热喷涂操作人员的考核要求”考核合格，所持证在有效期内。</w:t>
      </w:r>
    </w:p>
    <w:p>
      <w:pPr>
        <w:pStyle w:val="8"/>
        <w:spacing w:line="360" w:lineRule="auto"/>
        <w:ind w:left="0" w:leftChars="0" w:firstLine="480" w:firstLineChars="200"/>
        <w:rPr>
          <w:sz w:val="24"/>
          <w:szCs w:val="24"/>
        </w:rPr>
      </w:pPr>
      <w:r>
        <w:rPr>
          <w:sz w:val="24"/>
          <w:szCs w:val="24"/>
        </w:rPr>
        <w:t>1.3 为保证施工质量，投标方应配置足够的无损检验人员。无损喷涂施工人员的资格应按“GB/T 9445-2008  无损喷涂施工人员的资格鉴定与认证”得到认可。</w:t>
      </w:r>
    </w:p>
    <w:p>
      <w:pPr>
        <w:pStyle w:val="8"/>
        <w:spacing w:line="360" w:lineRule="auto"/>
        <w:ind w:left="0" w:leftChars="0" w:firstLine="480" w:firstLineChars="200"/>
        <w:rPr>
          <w:sz w:val="24"/>
          <w:szCs w:val="24"/>
        </w:rPr>
      </w:pPr>
      <w:r>
        <w:rPr>
          <w:sz w:val="24"/>
          <w:szCs w:val="24"/>
        </w:rPr>
        <w:t>1.4 为确保施工的正常进行，投标方在作业人员中，应配置经验较丰富的喷涂机具维修(护)人员。</w:t>
      </w:r>
    </w:p>
    <w:p>
      <w:pPr>
        <w:pStyle w:val="8"/>
        <w:spacing w:line="360" w:lineRule="auto"/>
        <w:ind w:left="0" w:leftChars="0" w:firstLine="480" w:firstLineChars="200"/>
        <w:rPr>
          <w:sz w:val="24"/>
          <w:szCs w:val="24"/>
        </w:rPr>
      </w:pPr>
      <w:r>
        <w:rPr>
          <w:sz w:val="24"/>
          <w:szCs w:val="24"/>
        </w:rPr>
        <w:t>1.5</w:t>
      </w:r>
      <w:r>
        <w:rPr>
          <w:sz w:val="24"/>
        </w:rPr>
        <w:t>炉内检修平台为铝合金升降平台（检修平台由招标人搭好，但投标人应提供合格人员操作检修平台，并服从招标人指挥）</w:t>
      </w:r>
      <w:r>
        <w:rPr>
          <w:sz w:val="24"/>
          <w:szCs w:val="24"/>
        </w:rPr>
        <w:t>。</w:t>
      </w:r>
    </w:p>
    <w:p>
      <w:pPr>
        <w:pStyle w:val="8"/>
        <w:spacing w:line="360" w:lineRule="auto"/>
        <w:ind w:left="0" w:leftChars="0" w:firstLine="480" w:firstLineChars="200"/>
        <w:rPr>
          <w:sz w:val="24"/>
          <w:szCs w:val="24"/>
        </w:rPr>
      </w:pPr>
      <w:r>
        <w:rPr>
          <w:sz w:val="24"/>
          <w:szCs w:val="24"/>
        </w:rPr>
        <w:t>1.6 现场主要施工人员必须与投标文件中所列持证人员相符；在施工过程中，未经招标方的同意，项目经理(负责人)不得离开现场。</w:t>
      </w:r>
    </w:p>
    <w:p>
      <w:pPr>
        <w:pStyle w:val="8"/>
        <w:spacing w:line="360" w:lineRule="auto"/>
        <w:ind w:left="0" w:leftChars="0" w:firstLine="480" w:firstLineChars="200"/>
        <w:rPr>
          <w:sz w:val="24"/>
          <w:szCs w:val="24"/>
        </w:rPr>
      </w:pPr>
      <w:r>
        <w:rPr>
          <w:sz w:val="24"/>
          <w:szCs w:val="24"/>
        </w:rPr>
        <w:t>1.7在施工前，投标方对施工人员进行认真、仔细的专业培训和安全培训；在合同有效期内，招标方有权对施工作业人员进行安全、质量、行为等方面的考核，对考核不合格的人员招标方有权提出调换，投标方应安排合格的人员替换。</w:t>
      </w:r>
    </w:p>
    <w:p>
      <w:pPr>
        <w:pStyle w:val="8"/>
        <w:spacing w:line="360" w:lineRule="auto"/>
        <w:ind w:left="0" w:leftChars="0" w:firstLine="480" w:firstLineChars="200"/>
        <w:rPr>
          <w:sz w:val="24"/>
          <w:szCs w:val="24"/>
        </w:rPr>
      </w:pPr>
      <w:r>
        <w:rPr>
          <w:sz w:val="24"/>
          <w:szCs w:val="24"/>
        </w:rPr>
        <w:t>1.8 人员配备（表中人员需取得其承担工作所需的资质，相应证明文件由投标方提供）</w:t>
      </w:r>
    </w:p>
    <w:tbl>
      <w:tblPr>
        <w:tblStyle w:val="15"/>
        <w:tblW w:w="957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3"/>
        <w:gridCol w:w="2008"/>
        <w:gridCol w:w="985"/>
        <w:gridCol w:w="2826"/>
        <w:gridCol w:w="26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blHeader/>
          <w:jc w:val="center"/>
        </w:trPr>
        <w:tc>
          <w:tcPr>
            <w:tcW w:w="1103" w:type="dxa"/>
            <w:tcBorders>
              <w:top w:val="single" w:color="auto" w:sz="12" w:space="0"/>
              <w:left w:val="single" w:color="auto" w:sz="12" w:space="0"/>
              <w:bottom w:val="single" w:color="auto" w:sz="6" w:space="0"/>
              <w:right w:val="single" w:color="auto" w:sz="6" w:space="0"/>
            </w:tcBorders>
            <w:vAlign w:val="center"/>
          </w:tcPr>
          <w:p>
            <w:pPr>
              <w:ind w:right="-57"/>
              <w:jc w:val="center"/>
              <w:rPr>
                <w:sz w:val="24"/>
                <w:szCs w:val="24"/>
              </w:rPr>
            </w:pPr>
            <w:r>
              <w:rPr>
                <w:sz w:val="24"/>
                <w:szCs w:val="24"/>
              </w:rPr>
              <w:t>序号</w:t>
            </w:r>
          </w:p>
        </w:tc>
        <w:tc>
          <w:tcPr>
            <w:tcW w:w="2008" w:type="dxa"/>
            <w:tcBorders>
              <w:top w:val="single" w:color="auto" w:sz="12" w:space="0"/>
              <w:left w:val="single" w:color="auto" w:sz="6" w:space="0"/>
              <w:bottom w:val="single" w:color="auto" w:sz="6" w:space="0"/>
              <w:right w:val="single" w:color="auto" w:sz="6" w:space="0"/>
            </w:tcBorders>
            <w:vAlign w:val="center"/>
          </w:tcPr>
          <w:p>
            <w:pPr>
              <w:ind w:right="-57"/>
              <w:jc w:val="center"/>
              <w:rPr>
                <w:sz w:val="24"/>
                <w:szCs w:val="24"/>
              </w:rPr>
            </w:pPr>
            <w:r>
              <w:rPr>
                <w:sz w:val="24"/>
                <w:szCs w:val="24"/>
              </w:rPr>
              <w:t>配备人员</w:t>
            </w:r>
          </w:p>
        </w:tc>
        <w:tc>
          <w:tcPr>
            <w:tcW w:w="985" w:type="dxa"/>
            <w:tcBorders>
              <w:top w:val="single" w:color="auto" w:sz="12" w:space="0"/>
              <w:left w:val="single" w:color="auto" w:sz="6" w:space="0"/>
              <w:bottom w:val="single" w:color="auto" w:sz="6" w:space="0"/>
              <w:right w:val="single" w:color="auto" w:sz="6" w:space="0"/>
            </w:tcBorders>
            <w:vAlign w:val="center"/>
          </w:tcPr>
          <w:p>
            <w:pPr>
              <w:ind w:right="-57"/>
              <w:jc w:val="center"/>
              <w:rPr>
                <w:sz w:val="24"/>
                <w:szCs w:val="24"/>
              </w:rPr>
            </w:pPr>
            <w:r>
              <w:rPr>
                <w:sz w:val="24"/>
                <w:szCs w:val="24"/>
              </w:rPr>
              <w:t>人数</w:t>
            </w:r>
          </w:p>
        </w:tc>
        <w:tc>
          <w:tcPr>
            <w:tcW w:w="2826" w:type="dxa"/>
            <w:tcBorders>
              <w:top w:val="single" w:color="auto" w:sz="12" w:space="0"/>
              <w:left w:val="single" w:color="auto" w:sz="6" w:space="0"/>
              <w:bottom w:val="single" w:color="auto" w:sz="6" w:space="0"/>
              <w:right w:val="single" w:color="auto" w:sz="6" w:space="0"/>
            </w:tcBorders>
            <w:vAlign w:val="center"/>
          </w:tcPr>
          <w:p>
            <w:pPr>
              <w:ind w:right="-57"/>
              <w:jc w:val="center"/>
              <w:rPr>
                <w:sz w:val="24"/>
                <w:szCs w:val="24"/>
              </w:rPr>
            </w:pPr>
            <w:r>
              <w:rPr>
                <w:sz w:val="24"/>
                <w:szCs w:val="24"/>
              </w:rPr>
              <w:t>要求</w:t>
            </w:r>
          </w:p>
        </w:tc>
        <w:tc>
          <w:tcPr>
            <w:tcW w:w="2657" w:type="dxa"/>
            <w:tcBorders>
              <w:top w:val="single" w:color="auto" w:sz="12" w:space="0"/>
              <w:left w:val="single" w:color="auto" w:sz="6" w:space="0"/>
              <w:bottom w:val="single" w:color="auto" w:sz="6" w:space="0"/>
              <w:right w:val="single" w:color="auto" w:sz="12" w:space="0"/>
            </w:tcBorders>
            <w:vAlign w:val="center"/>
          </w:tcPr>
          <w:p>
            <w:pPr>
              <w:ind w:right="-57"/>
              <w:jc w:val="center"/>
              <w:rPr>
                <w:sz w:val="24"/>
                <w:szCs w:val="24"/>
              </w:rPr>
            </w:pPr>
            <w:r>
              <w:rPr>
                <w:sz w:val="24"/>
                <w:szCs w:val="24"/>
              </w:rPr>
              <w:t>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03" w:type="dxa"/>
            <w:tcBorders>
              <w:top w:val="single" w:color="auto" w:sz="6" w:space="0"/>
              <w:left w:val="single" w:color="auto" w:sz="12" w:space="0"/>
              <w:bottom w:val="single" w:color="auto" w:sz="6" w:space="0"/>
              <w:right w:val="single" w:color="auto" w:sz="6" w:space="0"/>
            </w:tcBorders>
            <w:vAlign w:val="center"/>
          </w:tcPr>
          <w:p>
            <w:pPr>
              <w:ind w:right="-57"/>
              <w:jc w:val="center"/>
              <w:rPr>
                <w:sz w:val="24"/>
                <w:szCs w:val="24"/>
              </w:rPr>
            </w:pPr>
            <w:r>
              <w:rPr>
                <w:sz w:val="24"/>
                <w:szCs w:val="24"/>
              </w:rPr>
              <w:t>1</w:t>
            </w:r>
          </w:p>
        </w:tc>
        <w:tc>
          <w:tcPr>
            <w:tcW w:w="2008" w:type="dxa"/>
            <w:tcBorders>
              <w:top w:val="single" w:color="auto" w:sz="6" w:space="0"/>
              <w:left w:val="single" w:color="auto" w:sz="6" w:space="0"/>
              <w:bottom w:val="single" w:color="auto" w:sz="6" w:space="0"/>
              <w:right w:val="single" w:color="auto" w:sz="6" w:space="0"/>
            </w:tcBorders>
            <w:vAlign w:val="center"/>
          </w:tcPr>
          <w:p>
            <w:pPr>
              <w:ind w:right="-57"/>
              <w:rPr>
                <w:sz w:val="24"/>
                <w:szCs w:val="24"/>
              </w:rPr>
            </w:pPr>
            <w:r>
              <w:rPr>
                <w:sz w:val="24"/>
                <w:szCs w:val="24"/>
              </w:rPr>
              <w:t>项目经理</w:t>
            </w:r>
          </w:p>
        </w:tc>
        <w:tc>
          <w:tcPr>
            <w:tcW w:w="985" w:type="dxa"/>
            <w:tcBorders>
              <w:top w:val="single" w:color="auto" w:sz="6" w:space="0"/>
              <w:left w:val="single" w:color="auto" w:sz="6" w:space="0"/>
              <w:bottom w:val="single" w:color="auto" w:sz="6" w:space="0"/>
              <w:right w:val="single" w:color="auto" w:sz="6" w:space="0"/>
            </w:tcBorders>
            <w:vAlign w:val="center"/>
          </w:tcPr>
          <w:p>
            <w:pPr>
              <w:ind w:right="-57"/>
              <w:jc w:val="center"/>
              <w:rPr>
                <w:sz w:val="24"/>
                <w:szCs w:val="24"/>
              </w:rPr>
            </w:pPr>
            <w:r>
              <w:rPr>
                <w:sz w:val="24"/>
                <w:szCs w:val="24"/>
              </w:rPr>
              <w:t>1</w:t>
            </w:r>
          </w:p>
        </w:tc>
        <w:tc>
          <w:tcPr>
            <w:tcW w:w="2826" w:type="dxa"/>
            <w:tcBorders>
              <w:top w:val="single" w:color="auto" w:sz="6" w:space="0"/>
              <w:left w:val="single" w:color="auto" w:sz="6" w:space="0"/>
              <w:bottom w:val="single" w:color="auto" w:sz="6" w:space="0"/>
              <w:right w:val="single" w:color="auto" w:sz="6" w:space="0"/>
            </w:tcBorders>
            <w:vAlign w:val="center"/>
          </w:tcPr>
          <w:p>
            <w:pPr>
              <w:ind w:right="-57"/>
              <w:rPr>
                <w:sz w:val="24"/>
                <w:szCs w:val="24"/>
              </w:rPr>
            </w:pPr>
            <w:r>
              <w:rPr>
                <w:sz w:val="24"/>
                <w:szCs w:val="24"/>
              </w:rPr>
              <w:t>中标单位提供委托函和项目经理证、有1000MW机组施工经历</w:t>
            </w:r>
          </w:p>
        </w:tc>
        <w:tc>
          <w:tcPr>
            <w:tcW w:w="2657" w:type="dxa"/>
            <w:tcBorders>
              <w:top w:val="single" w:color="auto" w:sz="6" w:space="0"/>
              <w:left w:val="single" w:color="auto" w:sz="6" w:space="0"/>
              <w:bottom w:val="single" w:color="auto" w:sz="6" w:space="0"/>
              <w:right w:val="single" w:color="auto" w:sz="12" w:space="0"/>
            </w:tcBorders>
            <w:vAlign w:val="center"/>
          </w:tcPr>
          <w:p>
            <w:pPr>
              <w:ind w:right="-57"/>
              <w:rPr>
                <w:sz w:val="24"/>
                <w:szCs w:val="24"/>
              </w:rPr>
            </w:pPr>
            <w:r>
              <w:rPr>
                <w:sz w:val="24"/>
                <w:szCs w:val="24"/>
              </w:rPr>
              <w:t>负责该项目整体协调、管理等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03" w:type="dxa"/>
            <w:tcBorders>
              <w:top w:val="single" w:color="auto" w:sz="6" w:space="0"/>
              <w:left w:val="single" w:color="auto" w:sz="12" w:space="0"/>
              <w:bottom w:val="single" w:color="auto" w:sz="6" w:space="0"/>
              <w:right w:val="single" w:color="auto" w:sz="6" w:space="0"/>
            </w:tcBorders>
            <w:vAlign w:val="center"/>
          </w:tcPr>
          <w:p>
            <w:pPr>
              <w:ind w:right="-57"/>
              <w:jc w:val="center"/>
              <w:rPr>
                <w:sz w:val="24"/>
                <w:szCs w:val="24"/>
              </w:rPr>
            </w:pPr>
            <w:r>
              <w:rPr>
                <w:sz w:val="24"/>
                <w:szCs w:val="24"/>
              </w:rPr>
              <w:t>2</w:t>
            </w:r>
          </w:p>
        </w:tc>
        <w:tc>
          <w:tcPr>
            <w:tcW w:w="2008" w:type="dxa"/>
            <w:tcBorders>
              <w:top w:val="single" w:color="auto" w:sz="6" w:space="0"/>
              <w:left w:val="single" w:color="auto" w:sz="6" w:space="0"/>
              <w:bottom w:val="single" w:color="auto" w:sz="6" w:space="0"/>
              <w:right w:val="single" w:color="auto" w:sz="6" w:space="0"/>
            </w:tcBorders>
            <w:vAlign w:val="center"/>
          </w:tcPr>
          <w:p>
            <w:pPr>
              <w:ind w:right="-57"/>
              <w:rPr>
                <w:sz w:val="24"/>
                <w:szCs w:val="24"/>
              </w:rPr>
            </w:pPr>
            <w:r>
              <w:rPr>
                <w:sz w:val="24"/>
                <w:szCs w:val="24"/>
              </w:rPr>
              <w:t>专职安全员</w:t>
            </w:r>
          </w:p>
        </w:tc>
        <w:tc>
          <w:tcPr>
            <w:tcW w:w="985" w:type="dxa"/>
            <w:tcBorders>
              <w:top w:val="single" w:color="auto" w:sz="6" w:space="0"/>
              <w:left w:val="single" w:color="auto" w:sz="6" w:space="0"/>
              <w:bottom w:val="single" w:color="auto" w:sz="6" w:space="0"/>
              <w:right w:val="single" w:color="auto" w:sz="6" w:space="0"/>
            </w:tcBorders>
            <w:vAlign w:val="center"/>
          </w:tcPr>
          <w:p>
            <w:pPr>
              <w:ind w:right="-57"/>
              <w:jc w:val="center"/>
              <w:rPr>
                <w:sz w:val="24"/>
                <w:szCs w:val="24"/>
              </w:rPr>
            </w:pPr>
            <w:r>
              <w:rPr>
                <w:sz w:val="24"/>
                <w:szCs w:val="24"/>
              </w:rPr>
              <w:t>1</w:t>
            </w:r>
          </w:p>
        </w:tc>
        <w:tc>
          <w:tcPr>
            <w:tcW w:w="2826" w:type="dxa"/>
            <w:tcBorders>
              <w:top w:val="single" w:color="auto" w:sz="6" w:space="0"/>
              <w:left w:val="single" w:color="auto" w:sz="6" w:space="0"/>
              <w:bottom w:val="single" w:color="auto" w:sz="6" w:space="0"/>
              <w:right w:val="single" w:color="auto" w:sz="6" w:space="0"/>
            </w:tcBorders>
            <w:vAlign w:val="center"/>
          </w:tcPr>
          <w:p>
            <w:pPr>
              <w:ind w:right="-57"/>
              <w:rPr>
                <w:sz w:val="24"/>
                <w:szCs w:val="24"/>
              </w:rPr>
            </w:pPr>
            <w:r>
              <w:rPr>
                <w:sz w:val="24"/>
                <w:szCs w:val="24"/>
              </w:rPr>
              <w:t>中标单位提供委托函和安全员证、有1000MW机组施工经历</w:t>
            </w:r>
          </w:p>
        </w:tc>
        <w:tc>
          <w:tcPr>
            <w:tcW w:w="2657" w:type="dxa"/>
            <w:tcBorders>
              <w:top w:val="single" w:color="auto" w:sz="6" w:space="0"/>
              <w:left w:val="single" w:color="auto" w:sz="6" w:space="0"/>
              <w:bottom w:val="single" w:color="auto" w:sz="6" w:space="0"/>
              <w:right w:val="single" w:color="auto" w:sz="12" w:space="0"/>
            </w:tcBorders>
            <w:vAlign w:val="center"/>
          </w:tcPr>
          <w:p>
            <w:pPr>
              <w:ind w:right="-57"/>
              <w:rPr>
                <w:sz w:val="24"/>
                <w:szCs w:val="24"/>
              </w:rPr>
            </w:pPr>
            <w:r>
              <w:rPr>
                <w:sz w:val="24"/>
                <w:szCs w:val="24"/>
              </w:rPr>
              <w:t>负责现场安全文明生产管理等</w:t>
            </w:r>
          </w:p>
        </w:tc>
      </w:tr>
    </w:tbl>
    <w:p>
      <w:pPr>
        <w:pStyle w:val="8"/>
        <w:spacing w:line="360" w:lineRule="auto"/>
        <w:ind w:left="0" w:leftChars="0" w:firstLine="480" w:firstLineChars="200"/>
        <w:rPr>
          <w:sz w:val="24"/>
          <w:szCs w:val="24"/>
        </w:rPr>
      </w:pPr>
      <w:r>
        <w:rPr>
          <w:sz w:val="24"/>
          <w:szCs w:val="24"/>
        </w:rPr>
        <w:t>2、施工机具管理</w:t>
      </w:r>
    </w:p>
    <w:p>
      <w:pPr>
        <w:pStyle w:val="8"/>
        <w:spacing w:line="360" w:lineRule="auto"/>
        <w:ind w:left="0" w:leftChars="0" w:firstLine="480" w:firstLineChars="200"/>
        <w:rPr>
          <w:sz w:val="24"/>
          <w:szCs w:val="24"/>
        </w:rPr>
      </w:pPr>
      <w:r>
        <w:rPr>
          <w:sz w:val="24"/>
          <w:szCs w:val="24"/>
        </w:rPr>
        <w:t>2.1 投标方应自备喷涂施工所需的全部设备、机具等全部设备、设施。如压缩空气制备设备(空压机)、喷砂机、喷涂设备、涂层喷涂施工设备等。</w:t>
      </w:r>
    </w:p>
    <w:p>
      <w:pPr>
        <w:pStyle w:val="8"/>
        <w:spacing w:line="360" w:lineRule="auto"/>
        <w:ind w:left="0" w:leftChars="0" w:firstLine="480" w:firstLineChars="200"/>
        <w:rPr>
          <w:sz w:val="24"/>
          <w:szCs w:val="24"/>
        </w:rPr>
      </w:pPr>
      <w:r>
        <w:rPr>
          <w:sz w:val="24"/>
          <w:szCs w:val="24"/>
        </w:rPr>
        <w:t>2.2相应的设备和机具，各种施工工具经主管部门检验合格后方可进入现场，所有用电设备应安装漏电保护装置（一机一闸）确保施工及安全要求。</w:t>
      </w:r>
    </w:p>
    <w:p>
      <w:pPr>
        <w:pStyle w:val="8"/>
        <w:spacing w:line="360" w:lineRule="auto"/>
        <w:ind w:left="0" w:leftChars="0" w:firstLine="480" w:firstLineChars="200"/>
        <w:rPr>
          <w:sz w:val="24"/>
          <w:szCs w:val="24"/>
        </w:rPr>
      </w:pPr>
      <w:r>
        <w:rPr>
          <w:sz w:val="24"/>
          <w:szCs w:val="24"/>
        </w:rPr>
        <w:t>2.3储气罐等特种设备应有质监督局颁发的有效使用许可证。</w:t>
      </w:r>
    </w:p>
    <w:p>
      <w:pPr>
        <w:pStyle w:val="8"/>
        <w:spacing w:line="360" w:lineRule="auto"/>
        <w:ind w:left="0" w:leftChars="0" w:firstLine="480" w:firstLineChars="200"/>
        <w:rPr>
          <w:sz w:val="24"/>
          <w:szCs w:val="24"/>
        </w:rPr>
      </w:pPr>
      <w:r>
        <w:rPr>
          <w:sz w:val="24"/>
          <w:szCs w:val="24"/>
        </w:rPr>
        <w:t>2.4确保施工质量，对工程喷砂用所需的金刚砂应注意防潮、防雨。</w:t>
      </w:r>
    </w:p>
    <w:p>
      <w:pPr>
        <w:pStyle w:val="8"/>
        <w:spacing w:line="360" w:lineRule="auto"/>
        <w:ind w:left="0" w:leftChars="0" w:firstLine="480" w:firstLineChars="200"/>
        <w:rPr>
          <w:sz w:val="24"/>
          <w:szCs w:val="24"/>
        </w:rPr>
      </w:pPr>
      <w:r>
        <w:rPr>
          <w:sz w:val="24"/>
          <w:szCs w:val="24"/>
        </w:rPr>
        <w:t>2.5本项目设备构成如下（由投标方填写）：</w:t>
      </w:r>
    </w:p>
    <w:tbl>
      <w:tblPr>
        <w:tblStyle w:val="15"/>
        <w:tblW w:w="836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2"/>
        <w:gridCol w:w="3329"/>
        <w:gridCol w:w="900"/>
        <w:gridCol w:w="32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blHeader/>
          <w:jc w:val="center"/>
        </w:trPr>
        <w:tc>
          <w:tcPr>
            <w:tcW w:w="932" w:type="dxa"/>
            <w:tcBorders>
              <w:top w:val="single" w:color="auto" w:sz="12"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序号</w:t>
            </w:r>
          </w:p>
        </w:tc>
        <w:tc>
          <w:tcPr>
            <w:tcW w:w="3329" w:type="dxa"/>
            <w:tcBorders>
              <w:top w:val="single" w:color="auto" w:sz="12"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名称</w:t>
            </w:r>
          </w:p>
        </w:tc>
        <w:tc>
          <w:tcPr>
            <w:tcW w:w="900" w:type="dxa"/>
            <w:tcBorders>
              <w:top w:val="single" w:color="auto" w:sz="12"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数量</w:t>
            </w:r>
          </w:p>
        </w:tc>
        <w:tc>
          <w:tcPr>
            <w:tcW w:w="3203" w:type="dxa"/>
            <w:tcBorders>
              <w:top w:val="single" w:color="auto" w:sz="12" w:space="0"/>
              <w:left w:val="single" w:color="auto" w:sz="6" w:space="0"/>
              <w:bottom w:val="single" w:color="auto" w:sz="6" w:space="0"/>
              <w:right w:val="single" w:color="auto" w:sz="12" w:space="0"/>
            </w:tcBorders>
            <w:vAlign w:val="center"/>
          </w:tcPr>
          <w:p>
            <w:pPr>
              <w:snapToGrid w:val="0"/>
              <w:jc w:val="center"/>
              <w:rPr>
                <w:sz w:val="24"/>
                <w:szCs w:val="24"/>
              </w:rPr>
            </w:pPr>
            <w:r>
              <w:rPr>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1</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超音速电弧喷涂设备</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2</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空压机</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 w:hRule="atLeast"/>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3</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储气罐</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r>
              <w:rPr>
                <w:sz w:val="24"/>
                <w:szCs w:val="24"/>
              </w:rPr>
              <w:t>需有质监局颁发的准用证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4</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涂刷封孔剂装置</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5</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喷砂打磨装置</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6" w:space="0"/>
              <w:right w:val="single" w:color="auto" w:sz="6" w:space="0"/>
            </w:tcBorders>
            <w:vAlign w:val="center"/>
          </w:tcPr>
          <w:p>
            <w:pPr>
              <w:snapToGrid w:val="0"/>
              <w:jc w:val="center"/>
              <w:rPr>
                <w:sz w:val="24"/>
                <w:szCs w:val="24"/>
              </w:rPr>
            </w:pPr>
            <w:r>
              <w:rPr>
                <w:sz w:val="24"/>
                <w:szCs w:val="24"/>
              </w:rPr>
              <w:t>6</w:t>
            </w:r>
          </w:p>
        </w:tc>
        <w:tc>
          <w:tcPr>
            <w:tcW w:w="3329"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r>
              <w:rPr>
                <w:sz w:val="24"/>
                <w:szCs w:val="24"/>
              </w:rPr>
              <w:t>金刚砂</w:t>
            </w:r>
          </w:p>
        </w:tc>
        <w:tc>
          <w:tcPr>
            <w:tcW w:w="900" w:type="dxa"/>
            <w:tcBorders>
              <w:top w:val="single" w:color="auto" w:sz="6" w:space="0"/>
              <w:left w:val="single" w:color="auto" w:sz="6" w:space="0"/>
              <w:bottom w:val="single" w:color="auto" w:sz="6"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6" w:space="0"/>
              <w:right w:val="single" w:color="auto" w:sz="12" w:space="0"/>
            </w:tcBorders>
            <w:vAlign w:val="center"/>
          </w:tcPr>
          <w:p>
            <w:pPr>
              <w:snapToGrid w:val="0"/>
              <w:jc w:val="center"/>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32" w:type="dxa"/>
            <w:tcBorders>
              <w:top w:val="single" w:color="auto" w:sz="6" w:space="0"/>
              <w:left w:val="single" w:color="auto" w:sz="12" w:space="0"/>
              <w:bottom w:val="single" w:color="auto" w:sz="12" w:space="0"/>
              <w:right w:val="single" w:color="auto" w:sz="6" w:space="0"/>
            </w:tcBorders>
            <w:vAlign w:val="center"/>
          </w:tcPr>
          <w:p>
            <w:pPr>
              <w:snapToGrid w:val="0"/>
              <w:jc w:val="center"/>
              <w:rPr>
                <w:sz w:val="24"/>
                <w:szCs w:val="24"/>
              </w:rPr>
            </w:pPr>
            <w:r>
              <w:rPr>
                <w:sz w:val="24"/>
                <w:szCs w:val="24"/>
              </w:rPr>
              <w:t>7</w:t>
            </w:r>
          </w:p>
        </w:tc>
        <w:tc>
          <w:tcPr>
            <w:tcW w:w="3329" w:type="dxa"/>
            <w:tcBorders>
              <w:top w:val="single" w:color="auto" w:sz="6" w:space="0"/>
              <w:left w:val="single" w:color="auto" w:sz="6" w:space="0"/>
              <w:bottom w:val="single" w:color="auto" w:sz="12" w:space="0"/>
              <w:right w:val="single" w:color="auto" w:sz="6" w:space="0"/>
            </w:tcBorders>
            <w:vAlign w:val="center"/>
          </w:tcPr>
          <w:p>
            <w:pPr>
              <w:snapToGrid w:val="0"/>
              <w:jc w:val="center"/>
              <w:rPr>
                <w:sz w:val="24"/>
                <w:szCs w:val="24"/>
              </w:rPr>
            </w:pPr>
            <w:r>
              <w:rPr>
                <w:sz w:val="24"/>
                <w:szCs w:val="24"/>
              </w:rPr>
              <w:t>其它</w:t>
            </w:r>
          </w:p>
        </w:tc>
        <w:tc>
          <w:tcPr>
            <w:tcW w:w="900" w:type="dxa"/>
            <w:tcBorders>
              <w:top w:val="single" w:color="auto" w:sz="6" w:space="0"/>
              <w:left w:val="single" w:color="auto" w:sz="6" w:space="0"/>
              <w:bottom w:val="single" w:color="auto" w:sz="12" w:space="0"/>
              <w:right w:val="single" w:color="auto" w:sz="6" w:space="0"/>
            </w:tcBorders>
            <w:vAlign w:val="center"/>
          </w:tcPr>
          <w:p>
            <w:pPr>
              <w:snapToGrid w:val="0"/>
              <w:jc w:val="center"/>
              <w:rPr>
                <w:sz w:val="24"/>
                <w:szCs w:val="24"/>
              </w:rPr>
            </w:pPr>
          </w:p>
        </w:tc>
        <w:tc>
          <w:tcPr>
            <w:tcW w:w="3203" w:type="dxa"/>
            <w:tcBorders>
              <w:top w:val="single" w:color="auto" w:sz="6" w:space="0"/>
              <w:left w:val="single" w:color="auto" w:sz="6" w:space="0"/>
              <w:bottom w:val="single" w:color="auto" w:sz="12" w:space="0"/>
              <w:right w:val="single" w:color="auto" w:sz="12" w:space="0"/>
            </w:tcBorders>
            <w:vAlign w:val="center"/>
          </w:tcPr>
          <w:p>
            <w:pPr>
              <w:snapToGrid w:val="0"/>
              <w:jc w:val="center"/>
              <w:rPr>
                <w:sz w:val="24"/>
                <w:szCs w:val="24"/>
              </w:rPr>
            </w:pPr>
          </w:p>
        </w:tc>
      </w:tr>
    </w:tbl>
    <w:p>
      <w:pPr>
        <w:pStyle w:val="8"/>
        <w:numPr>
          <w:ilvl w:val="0"/>
          <w:numId w:val="4"/>
        </w:numPr>
        <w:spacing w:line="360" w:lineRule="auto"/>
        <w:ind w:leftChars="0"/>
        <w:rPr>
          <w:b/>
          <w:sz w:val="32"/>
          <w:szCs w:val="32"/>
        </w:rPr>
      </w:pPr>
      <w:r>
        <w:rPr>
          <w:b/>
          <w:sz w:val="32"/>
          <w:szCs w:val="32"/>
        </w:rPr>
        <w:t>工程考核条款</w:t>
      </w:r>
    </w:p>
    <w:p>
      <w:pPr>
        <w:pStyle w:val="8"/>
        <w:spacing w:line="360" w:lineRule="auto"/>
        <w:ind w:left="0" w:leftChars="0" w:firstLine="480" w:firstLineChars="200"/>
        <w:rPr>
          <w:sz w:val="24"/>
          <w:szCs w:val="24"/>
        </w:rPr>
      </w:pPr>
      <w:r>
        <w:rPr>
          <w:sz w:val="24"/>
          <w:szCs w:val="24"/>
        </w:rPr>
        <w:t>1、工程施工发生施工质量问题、安全问题、环境污染等事故，按华能南京金陵电厂有关管理规定进行考核。</w:t>
      </w:r>
    </w:p>
    <w:p>
      <w:pPr>
        <w:pStyle w:val="8"/>
        <w:spacing w:line="360" w:lineRule="auto"/>
        <w:ind w:left="0" w:leftChars="0" w:firstLine="480" w:firstLineChars="200"/>
        <w:rPr>
          <w:sz w:val="24"/>
          <w:szCs w:val="24"/>
        </w:rPr>
      </w:pPr>
      <w:r>
        <w:rPr>
          <w:sz w:val="24"/>
          <w:szCs w:val="24"/>
        </w:rPr>
        <w:t>2、如投标方施工质量问题，投标方应承担赔偿责任；</w:t>
      </w:r>
    </w:p>
    <w:p>
      <w:pPr>
        <w:pStyle w:val="8"/>
        <w:spacing w:line="360" w:lineRule="auto"/>
        <w:ind w:left="0" w:leftChars="0" w:firstLine="480" w:firstLineChars="200"/>
        <w:rPr>
          <w:sz w:val="24"/>
          <w:szCs w:val="24"/>
        </w:rPr>
      </w:pPr>
      <w:r>
        <w:rPr>
          <w:sz w:val="24"/>
          <w:szCs w:val="24"/>
        </w:rPr>
        <w:t>3、如因投标方施工问题造成事故和直接经济损失，投标方应承担赔偿责任；</w:t>
      </w:r>
    </w:p>
    <w:p>
      <w:pPr>
        <w:pStyle w:val="8"/>
        <w:spacing w:line="360" w:lineRule="auto"/>
        <w:ind w:left="0" w:leftChars="0" w:firstLine="480" w:firstLineChars="200"/>
        <w:rPr>
          <w:sz w:val="24"/>
          <w:szCs w:val="24"/>
        </w:rPr>
      </w:pPr>
      <w:r>
        <w:rPr>
          <w:sz w:val="24"/>
          <w:szCs w:val="24"/>
        </w:rPr>
        <w:t>4、投标方无正当理由不能拒绝甲方的合理要求；</w:t>
      </w:r>
    </w:p>
    <w:p>
      <w:pPr>
        <w:pStyle w:val="8"/>
        <w:spacing w:line="360" w:lineRule="auto"/>
        <w:ind w:left="0" w:leftChars="0" w:firstLine="480" w:firstLineChars="200"/>
        <w:rPr>
          <w:sz w:val="24"/>
          <w:szCs w:val="24"/>
        </w:rPr>
      </w:pPr>
      <w:r>
        <w:rPr>
          <w:sz w:val="24"/>
          <w:szCs w:val="24"/>
        </w:rPr>
        <w:t>5、投标方所喷涂的产品结果不符合规定标准的，招标方有权拒绝验收。</w:t>
      </w:r>
    </w:p>
    <w:p>
      <w:pPr>
        <w:pStyle w:val="8"/>
        <w:spacing w:line="360" w:lineRule="auto"/>
        <w:ind w:left="0" w:leftChars="0" w:firstLine="480" w:firstLineChars="200"/>
        <w:rPr>
          <w:sz w:val="24"/>
          <w:szCs w:val="24"/>
        </w:rPr>
      </w:pPr>
      <w:r>
        <w:rPr>
          <w:sz w:val="24"/>
          <w:szCs w:val="24"/>
        </w:rPr>
        <w:t>6、喷涂过程中，投标方未能及时发现喷涂区域受热面的明显缺陷，并及时通知招标方进行处理，则对类似问题造成的损失负责。</w:t>
      </w:r>
    </w:p>
    <w:p>
      <w:pPr>
        <w:ind w:firstLine="480" w:firstLineChars="200"/>
        <w:rPr>
          <w:sz w:val="24"/>
          <w:szCs w:val="24"/>
        </w:rPr>
      </w:pPr>
      <w:r>
        <w:rPr>
          <w:color w:val="000000"/>
          <w:sz w:val="24"/>
          <w:szCs w:val="24"/>
        </w:rPr>
        <w:t>7、每次招标方机组检修结束后，由招标方对投标方提供的服务进行综合评价，评价不合格时，招标方有权终止双方合同。</w:t>
      </w:r>
    </w:p>
    <w:p>
      <w:pPr>
        <w:pStyle w:val="8"/>
        <w:numPr>
          <w:ilvl w:val="0"/>
          <w:numId w:val="4"/>
        </w:numPr>
        <w:spacing w:line="360" w:lineRule="auto"/>
        <w:ind w:leftChars="0"/>
        <w:rPr>
          <w:b/>
          <w:sz w:val="32"/>
          <w:szCs w:val="32"/>
        </w:rPr>
      </w:pPr>
      <w:r>
        <w:rPr>
          <w:b/>
          <w:sz w:val="32"/>
          <w:szCs w:val="32"/>
        </w:rPr>
        <w:t>其他</w:t>
      </w:r>
    </w:p>
    <w:p>
      <w:pPr>
        <w:spacing w:line="360" w:lineRule="auto"/>
        <w:ind w:firstLine="480" w:firstLineChars="200"/>
        <w:rPr>
          <w:b/>
          <w:sz w:val="32"/>
          <w:szCs w:val="32"/>
        </w:rPr>
      </w:pPr>
      <w:r>
        <w:rPr>
          <w:sz w:val="24"/>
          <w:szCs w:val="24"/>
        </w:rPr>
        <w:t>本技术规范书条款解释权在招标方；投标方如有异议，在投标文件中书面进行澄清。</w:t>
      </w:r>
    </w:p>
    <w:p>
      <w:pPr>
        <w:pStyle w:val="2"/>
        <w:numPr>
          <w:ilvl w:val="2"/>
          <w:numId w:val="0"/>
        </w:numPr>
      </w:pPr>
      <w:r>
        <w:rPr>
          <w:sz w:val="32"/>
          <w:szCs w:val="32"/>
        </w:rPr>
        <w:t>十四、</w:t>
      </w:r>
      <w:r>
        <w:rPr>
          <w:rFonts w:hint="eastAsia"/>
          <w:sz w:val="32"/>
          <w:szCs w:val="32"/>
        </w:rPr>
        <w:t>喷涂验收表</w:t>
      </w:r>
    </w:p>
    <w:p>
      <w:pPr>
        <w:spacing w:line="360" w:lineRule="auto"/>
        <w:rPr>
          <w:b/>
          <w:sz w:val="32"/>
          <w:szCs w:val="32"/>
        </w:rPr>
      </w:pPr>
    </w:p>
    <w:p>
      <w:pPr>
        <w:pStyle w:val="3"/>
        <w:ind w:firstLine="420"/>
        <w:rPr>
          <w:rFonts w:hint="default"/>
        </w:rPr>
      </w:pPr>
    </w:p>
    <w:p>
      <w:pPr>
        <w:pStyle w:val="2"/>
        <w:numPr>
          <w:ilvl w:val="255"/>
          <w:numId w:val="0"/>
        </w:numPr>
        <w:ind w:left="105" w:leftChars="50"/>
        <w:jc w:val="left"/>
      </w:pPr>
      <w:r>
        <w:rPr>
          <w:rFonts w:hint="eastAsia"/>
        </w:rPr>
        <w:t>表P.1</w:t>
      </w:r>
      <w:r>
        <w:t xml:space="preserve"> 表面预处理阶段验收单</w:t>
      </w:r>
    </w:p>
    <w:p>
      <w:pPr>
        <w:pStyle w:val="3"/>
        <w:ind w:firstLine="420"/>
        <w:rPr>
          <w:rFonts w:hint="default"/>
        </w:rPr>
      </w:pPr>
      <w:r>
        <w:t>工程名称：</w:t>
      </w:r>
    </w:p>
    <w:tbl>
      <w:tblPr>
        <w:tblStyle w:val="16"/>
        <w:tblW w:w="9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tcPr>
          <w:p>
            <w:pPr>
              <w:pStyle w:val="3"/>
              <w:ind w:firstLine="420"/>
              <w:rPr>
                <w:rFonts w:hint="default"/>
              </w:rPr>
            </w:pPr>
            <w:r>
              <w:t>我方己完成</w:t>
            </w:r>
            <w:r>
              <w:rPr>
                <w:u w:val="single"/>
              </w:rPr>
              <w:t xml:space="preserve">              </w:t>
            </w:r>
            <w:r>
              <w:t>位置</w:t>
            </w:r>
            <w:r>
              <w:rPr>
                <w:u w:val="single"/>
              </w:rPr>
              <w:t xml:space="preserve">      </w:t>
            </w:r>
            <w:r>
              <w:t>根水冷壁管（约</w:t>
            </w:r>
            <w:r>
              <w:rPr>
                <w:u w:val="single"/>
              </w:rPr>
              <w:t xml:space="preserve">     </w:t>
            </w:r>
            <w:r>
              <w:t>m2）喷砂除锈毛化处理。</w:t>
            </w:r>
          </w:p>
          <w:p>
            <w:pPr>
              <w:pStyle w:val="3"/>
              <w:ind w:left="420" w:leftChars="200" w:firstLine="0" w:firstLineChars="0"/>
              <w:rPr>
                <w:rFonts w:hint="default"/>
              </w:rPr>
            </w:pPr>
            <w:r>
              <w:t>要求：</w:t>
            </w:r>
          </w:p>
          <w:p>
            <w:pPr>
              <w:pStyle w:val="3"/>
              <w:ind w:left="420" w:leftChars="200" w:firstLine="0" w:firstLineChars="0"/>
              <w:rPr>
                <w:rFonts w:hint="default"/>
              </w:rPr>
            </w:pPr>
            <w:r>
              <w:t>a)表面应无油脂、锈、氧化皮、焊接飞溅物等。</w:t>
            </w:r>
          </w:p>
          <w:p>
            <w:pPr>
              <w:pStyle w:val="3"/>
              <w:ind w:left="420" w:leftChars="200" w:firstLine="0" w:firstLineChars="0"/>
              <w:rPr>
                <w:rFonts w:hint="default"/>
              </w:rPr>
            </w:pPr>
            <w:r>
              <w:t>b)粗糙度仪检测，表面的粗糙度应达到</w:t>
            </w:r>
            <w:r>
              <w:rPr>
                <w:color w:val="FF0000"/>
              </w:rPr>
              <w:t>Rz25µm-100µm</w:t>
            </w:r>
          </w:p>
          <w:p>
            <w:pPr>
              <w:pStyle w:val="3"/>
              <w:ind w:firstLine="420"/>
              <w:rPr>
                <w:rFonts w:hint="default"/>
              </w:rPr>
            </w:pPr>
          </w:p>
          <w:p>
            <w:pPr>
              <w:pStyle w:val="3"/>
              <w:ind w:firstLine="420"/>
              <w:rPr>
                <w:rFonts w:hint="default"/>
              </w:rPr>
            </w:pPr>
            <w:r>
              <w:t>自检结论：</w:t>
            </w:r>
          </w:p>
          <w:p>
            <w:pPr>
              <w:pStyle w:val="3"/>
              <w:ind w:firstLine="420"/>
              <w:rPr>
                <w:rFonts w:hint="default"/>
              </w:rPr>
            </w:pPr>
          </w:p>
          <w:p>
            <w:pPr>
              <w:pStyle w:val="3"/>
              <w:ind w:firstLine="420"/>
              <w:rPr>
                <w:rFonts w:hint="default"/>
              </w:rPr>
            </w:pPr>
            <w:r>
              <w:t>检验员：</w:t>
            </w:r>
          </w:p>
          <w:p>
            <w:pPr>
              <w:pStyle w:val="3"/>
              <w:ind w:firstLine="420"/>
              <w:rPr>
                <w:rFonts w:hint="default"/>
              </w:rPr>
            </w:pPr>
          </w:p>
          <w:p>
            <w:pPr>
              <w:pStyle w:val="3"/>
              <w:ind w:firstLine="6300" w:firstLineChars="3000"/>
              <w:rPr>
                <w:rFonts w:hint="default"/>
              </w:rPr>
            </w:pPr>
            <w:r>
              <w:t>乙方审核人员：</w:t>
            </w:r>
          </w:p>
          <w:p>
            <w:pPr>
              <w:pStyle w:val="3"/>
              <w:ind w:left="6516" w:leftChars="3000" w:hanging="216" w:hangingChars="103"/>
              <w:rPr>
                <w:rFonts w:hint="default"/>
              </w:rP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tcPr>
          <w:p>
            <w:pPr>
              <w:pStyle w:val="3"/>
              <w:ind w:firstLine="420"/>
              <w:rPr>
                <w:rFonts w:hint="default"/>
              </w:rPr>
            </w:pPr>
            <w:r>
              <w:t>验收意见：</w:t>
            </w:r>
          </w:p>
          <w:p>
            <w:pPr>
              <w:pStyle w:val="3"/>
              <w:ind w:firstLine="420"/>
              <w:rPr>
                <w:rFonts w:hint="default"/>
              </w:rPr>
            </w:pPr>
          </w:p>
          <w:p>
            <w:pPr>
              <w:pStyle w:val="3"/>
              <w:ind w:firstLine="420"/>
              <w:rPr>
                <w:rFonts w:hint="default"/>
              </w:rPr>
            </w:pPr>
            <w:r>
              <w:t>检修部专工：</w:t>
            </w:r>
          </w:p>
          <w:p>
            <w:pPr>
              <w:pStyle w:val="3"/>
              <w:ind w:firstLine="420"/>
              <w:rPr>
                <w:rFonts w:hint="default"/>
              </w:rPr>
            </w:pPr>
          </w:p>
          <w:p>
            <w:pPr>
              <w:pStyle w:val="3"/>
              <w:ind w:firstLine="420"/>
              <w:rPr>
                <w:rFonts w:hint="default"/>
              </w:rPr>
            </w:pPr>
            <w:r>
              <w:t>生产部专工：</w:t>
            </w:r>
          </w:p>
          <w:p>
            <w:pPr>
              <w:pStyle w:val="3"/>
              <w:ind w:firstLine="6300" w:firstLineChars="3000"/>
              <w:rPr>
                <w:rFonts w:hint="default"/>
              </w:rP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tcPr>
          <w:p>
            <w:pPr>
              <w:pStyle w:val="3"/>
              <w:ind w:firstLine="420"/>
              <w:rPr>
                <w:rFonts w:hint="default"/>
              </w:rPr>
            </w:pPr>
            <w:r>
              <w:t>整改意见：</w:t>
            </w:r>
          </w:p>
          <w:p>
            <w:pPr>
              <w:pStyle w:val="3"/>
              <w:ind w:firstLine="420"/>
              <w:rPr>
                <w:rFonts w:hint="default"/>
              </w:rPr>
            </w:pPr>
          </w:p>
          <w:p>
            <w:pPr>
              <w:pStyle w:val="3"/>
              <w:ind w:firstLine="420"/>
              <w:rPr>
                <w:rFonts w:hint="default"/>
              </w:rPr>
            </w:pPr>
          </w:p>
          <w:p>
            <w:pPr>
              <w:pStyle w:val="3"/>
              <w:ind w:firstLine="420"/>
              <w:rPr>
                <w:rFonts w:hint="default"/>
              </w:rPr>
            </w:pPr>
          </w:p>
          <w:p>
            <w:pPr>
              <w:pStyle w:val="3"/>
              <w:ind w:firstLine="420"/>
              <w:rPr>
                <w:rFonts w:hint="default"/>
              </w:rPr>
            </w:pPr>
          </w:p>
          <w:p>
            <w:pPr>
              <w:pStyle w:val="3"/>
              <w:ind w:firstLine="420"/>
              <w:rPr>
                <w:rFonts w:hint="default"/>
              </w:rPr>
            </w:pPr>
          </w:p>
          <w:p>
            <w:pPr>
              <w:pStyle w:val="3"/>
              <w:ind w:firstLine="420"/>
              <w:rPr>
                <w:rFonts w:hint="default"/>
              </w:rPr>
            </w:pPr>
          </w:p>
          <w:p>
            <w:pPr>
              <w:pStyle w:val="3"/>
              <w:ind w:firstLine="0" w:firstLineChars="0"/>
              <w:rPr>
                <w:rFonts w:hint="default"/>
              </w:rPr>
            </w:pPr>
          </w:p>
        </w:tc>
      </w:tr>
    </w:tbl>
    <w:p>
      <w:pPr>
        <w:pStyle w:val="3"/>
        <w:ind w:firstLine="420"/>
        <w:rPr>
          <w:rFonts w:hint="default"/>
        </w:rPr>
      </w:pPr>
    </w:p>
    <w:p>
      <w:pPr>
        <w:pStyle w:val="3"/>
        <w:ind w:firstLine="420"/>
        <w:rPr>
          <w:rFonts w:hint="default"/>
        </w:rPr>
      </w:pPr>
    </w:p>
    <w:p>
      <w:pPr>
        <w:pStyle w:val="2"/>
        <w:numPr>
          <w:ilvl w:val="2"/>
          <w:numId w:val="0"/>
        </w:numPr>
        <w:ind w:left="105" w:leftChars="50"/>
        <w:jc w:val="left"/>
      </w:pPr>
      <w:r>
        <w:rPr>
          <w:rFonts w:hint="eastAsia"/>
        </w:rPr>
        <w:t>表P.2 喷涂涂层阶段验收单</w:t>
      </w:r>
    </w:p>
    <w:p>
      <w:pPr>
        <w:pStyle w:val="3"/>
        <w:ind w:firstLine="420"/>
        <w:rPr>
          <w:rFonts w:hint="default"/>
        </w:rPr>
      </w:pPr>
      <w:r>
        <w:t>工程名称：</w:t>
      </w:r>
    </w:p>
    <w:tbl>
      <w:tblPr>
        <w:tblStyle w:val="16"/>
        <w:tblW w:w="9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tcPr>
          <w:p>
            <w:pPr>
              <w:pStyle w:val="3"/>
              <w:ind w:firstLine="420"/>
              <w:rPr>
                <w:rFonts w:hint="default"/>
              </w:rPr>
            </w:pPr>
          </w:p>
          <w:p>
            <w:pPr>
              <w:pStyle w:val="3"/>
              <w:ind w:firstLine="420"/>
              <w:rPr>
                <w:rFonts w:hint="default"/>
              </w:rPr>
            </w:pPr>
            <w:r>
              <w:t>我方己完成</w:t>
            </w:r>
            <w:r>
              <w:rPr>
                <w:u w:val="single"/>
              </w:rPr>
              <w:t xml:space="preserve">              </w:t>
            </w:r>
            <w:r>
              <w:t>位置</w:t>
            </w:r>
            <w:r>
              <w:rPr>
                <w:u w:val="single"/>
              </w:rPr>
              <w:t xml:space="preserve">      </w:t>
            </w:r>
            <w:r>
              <w:t>根水冷壁管（约</w:t>
            </w:r>
            <w:r>
              <w:rPr>
                <w:u w:val="single"/>
              </w:rPr>
              <w:t xml:space="preserve">     </w:t>
            </w:r>
            <w:r>
              <w:t>m2）防磨（或防腐蚀）喷涂。</w:t>
            </w:r>
          </w:p>
          <w:p>
            <w:pPr>
              <w:pStyle w:val="3"/>
              <w:ind w:firstLine="420"/>
              <w:rPr>
                <w:rFonts w:hint="default"/>
              </w:rPr>
            </w:pPr>
            <w:r>
              <w:t>要求：</w:t>
            </w:r>
          </w:p>
          <w:p>
            <w:pPr>
              <w:pStyle w:val="3"/>
              <w:ind w:firstLine="420"/>
              <w:rPr>
                <w:rFonts w:hint="default"/>
              </w:rPr>
            </w:pPr>
            <w:r>
              <w:t>1、外观检测：外观成型应均匀，无起皮、开裂，无飞溅、生丝附着，涂层末端应平滑过渡。</w:t>
            </w:r>
          </w:p>
          <w:p>
            <w:pPr>
              <w:pStyle w:val="3"/>
              <w:ind w:left="420" w:leftChars="200" w:firstLine="0" w:firstLineChars="0"/>
              <w:rPr>
                <w:rFonts w:hint="default"/>
              </w:rPr>
            </w:pPr>
            <w:r>
              <w:t>2、厚度测量应符合下列要求：</w:t>
            </w:r>
          </w:p>
          <w:p>
            <w:pPr>
              <w:pStyle w:val="3"/>
              <w:ind w:left="420" w:leftChars="200" w:firstLine="0" w:firstLineChars="0"/>
              <w:rPr>
                <w:rFonts w:hint="default"/>
              </w:rPr>
            </w:pPr>
            <w:r>
              <w:t>a)每平方米的喷涂面积测点应不少于5个，喷涂涂层厚度：0.3-0.5mm。</w:t>
            </w:r>
          </w:p>
          <w:p>
            <w:pPr>
              <w:pStyle w:val="3"/>
              <w:ind w:left="420" w:leftChars="200" w:firstLine="0" w:firstLineChars="0"/>
              <w:rPr>
                <w:rFonts w:hint="default"/>
              </w:rPr>
            </w:pPr>
            <w:r>
              <w:t>b)非磁性材料的涂层，按GB/T4956规定，应采用涂层测厚仪检测。</w:t>
            </w:r>
          </w:p>
          <w:p>
            <w:pPr>
              <w:pStyle w:val="3"/>
              <w:ind w:firstLine="420"/>
              <w:rPr>
                <w:rFonts w:hint="default"/>
              </w:rPr>
            </w:pPr>
            <w:r>
              <w:t>c)带有磁性的涂层材料，应采用喷涂前基体厚度测量和喷后整体测量，然后计算差值来测算涂层厚度。</w:t>
            </w:r>
          </w:p>
          <w:p>
            <w:pPr>
              <w:pStyle w:val="3"/>
              <w:ind w:firstLine="420"/>
              <w:rPr>
                <w:rFonts w:hint="default"/>
              </w:rPr>
            </w:pPr>
            <w:r>
              <w:t>3、对于防磨涂层，终止端应有过渡区，范围宜为15cm～20cm，使涂层平缓过渡。</w:t>
            </w:r>
          </w:p>
          <w:p>
            <w:pPr>
              <w:pStyle w:val="3"/>
              <w:ind w:left="420" w:leftChars="200" w:firstLine="0" w:firstLineChars="0"/>
              <w:rPr>
                <w:rFonts w:hint="default"/>
              </w:rPr>
            </w:pPr>
            <w:r>
              <w:t>4、涂层的硬度：防磨涂层的硬度度应不低于</w:t>
            </w:r>
            <w:r>
              <w:rPr>
                <w:color w:val="FF0000"/>
              </w:rPr>
              <w:t>HRC50。</w:t>
            </w:r>
          </w:p>
          <w:p>
            <w:pPr>
              <w:pStyle w:val="3"/>
              <w:ind w:firstLine="420"/>
              <w:rPr>
                <w:rFonts w:hint="default"/>
              </w:rPr>
            </w:pPr>
            <w:r>
              <w:t>5、喷涂材质应满足技术规范书要求。</w:t>
            </w:r>
          </w:p>
          <w:p>
            <w:pPr>
              <w:pStyle w:val="3"/>
              <w:ind w:firstLine="420"/>
              <w:rPr>
                <w:rFonts w:hint="default"/>
              </w:rPr>
            </w:pPr>
            <w:r>
              <w:t>自查情况综述：（详见记录表）</w:t>
            </w:r>
          </w:p>
          <w:p>
            <w:pPr>
              <w:pStyle w:val="3"/>
              <w:ind w:firstLine="420"/>
              <w:rPr>
                <w:rFonts w:hint="default"/>
              </w:rPr>
            </w:pPr>
            <w:r>
              <w:t>外观：</w:t>
            </w:r>
          </w:p>
          <w:p>
            <w:pPr>
              <w:pStyle w:val="3"/>
              <w:ind w:firstLine="420"/>
              <w:rPr>
                <w:rFonts w:hint="default"/>
              </w:rPr>
            </w:pPr>
            <w:r>
              <w:t>涂层厚度：</w:t>
            </w:r>
          </w:p>
          <w:p>
            <w:pPr>
              <w:pStyle w:val="3"/>
              <w:ind w:firstLine="420"/>
              <w:rPr>
                <w:rFonts w:hint="default"/>
              </w:rPr>
            </w:pPr>
            <w:r>
              <w:t>光谱：</w:t>
            </w:r>
          </w:p>
          <w:p>
            <w:pPr>
              <w:pStyle w:val="3"/>
              <w:ind w:firstLine="420"/>
              <w:rPr>
                <w:rFonts w:hint="default"/>
              </w:rPr>
            </w:pPr>
            <w:r>
              <w:t>硬度：</w:t>
            </w:r>
          </w:p>
          <w:p>
            <w:pPr>
              <w:pStyle w:val="3"/>
              <w:ind w:firstLine="420"/>
              <w:rPr>
                <w:rFonts w:hint="default"/>
              </w:rPr>
            </w:pPr>
            <w:r>
              <w:t>自检结论：</w:t>
            </w:r>
          </w:p>
          <w:p>
            <w:pPr>
              <w:pStyle w:val="3"/>
              <w:ind w:firstLine="420"/>
              <w:rPr>
                <w:rFonts w:hint="default"/>
              </w:rPr>
            </w:pPr>
          </w:p>
          <w:p>
            <w:pPr>
              <w:pStyle w:val="3"/>
              <w:ind w:firstLine="420"/>
              <w:rPr>
                <w:rFonts w:hint="default"/>
              </w:rPr>
            </w:pPr>
            <w:r>
              <w:t>检验员：</w:t>
            </w:r>
          </w:p>
          <w:p>
            <w:pPr>
              <w:pStyle w:val="3"/>
              <w:ind w:firstLine="420"/>
              <w:rPr>
                <w:rFonts w:hint="default"/>
              </w:rPr>
            </w:pPr>
          </w:p>
          <w:p>
            <w:pPr>
              <w:pStyle w:val="3"/>
              <w:ind w:firstLine="6300" w:firstLineChars="3000"/>
              <w:rPr>
                <w:rFonts w:hint="default"/>
              </w:rPr>
            </w:pPr>
            <w:r>
              <w:t>乙方审核人员：</w:t>
            </w:r>
          </w:p>
          <w:p>
            <w:pPr>
              <w:pStyle w:val="3"/>
              <w:ind w:left="6516" w:leftChars="3000" w:hanging="216" w:hangingChars="103"/>
              <w:rPr>
                <w:rFonts w:hint="default"/>
              </w:rP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tcPr>
          <w:p>
            <w:pPr>
              <w:pStyle w:val="3"/>
              <w:ind w:firstLine="420"/>
              <w:rPr>
                <w:rFonts w:hint="default"/>
              </w:rPr>
            </w:pPr>
            <w:r>
              <w:t>验收意见：</w:t>
            </w:r>
          </w:p>
          <w:p>
            <w:pPr>
              <w:pStyle w:val="3"/>
              <w:ind w:firstLine="420"/>
              <w:rPr>
                <w:rFonts w:hint="default"/>
              </w:rPr>
            </w:pPr>
          </w:p>
          <w:p>
            <w:pPr>
              <w:pStyle w:val="3"/>
              <w:ind w:firstLine="420"/>
              <w:rPr>
                <w:rFonts w:hint="default"/>
              </w:rPr>
            </w:pPr>
            <w:r>
              <w:t>检验单位：</w:t>
            </w:r>
          </w:p>
          <w:p>
            <w:pPr>
              <w:pStyle w:val="3"/>
              <w:ind w:firstLine="420"/>
              <w:rPr>
                <w:rFonts w:hint="default"/>
              </w:rPr>
            </w:pPr>
          </w:p>
          <w:p>
            <w:pPr>
              <w:pStyle w:val="3"/>
              <w:ind w:firstLine="420"/>
              <w:rPr>
                <w:rFonts w:hint="default"/>
              </w:rPr>
            </w:pPr>
            <w:r>
              <w:t>检修部专工：</w:t>
            </w:r>
          </w:p>
          <w:p>
            <w:pPr>
              <w:pStyle w:val="3"/>
              <w:ind w:firstLine="0" w:firstLineChars="0"/>
              <w:rPr>
                <w:rFonts w:hint="default"/>
              </w:rPr>
            </w:pPr>
          </w:p>
          <w:p>
            <w:pPr>
              <w:pStyle w:val="3"/>
              <w:ind w:firstLine="420"/>
              <w:rPr>
                <w:rFonts w:hint="default"/>
              </w:rPr>
            </w:pPr>
            <w:r>
              <w:t>生产部专工：</w:t>
            </w:r>
          </w:p>
          <w:p>
            <w:pPr>
              <w:pStyle w:val="3"/>
              <w:ind w:firstLine="6300" w:firstLineChars="3000"/>
              <w:jc w:val="center"/>
              <w:rPr>
                <w:rFonts w:hint="default"/>
              </w:rP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570" w:type="dxa"/>
          </w:tcPr>
          <w:p>
            <w:pPr>
              <w:pStyle w:val="3"/>
              <w:ind w:firstLine="420"/>
              <w:rPr>
                <w:rFonts w:hint="default"/>
              </w:rPr>
            </w:pPr>
            <w:r>
              <w:t>整改意见：</w:t>
            </w:r>
          </w:p>
          <w:p>
            <w:pPr>
              <w:pStyle w:val="3"/>
              <w:ind w:firstLine="0" w:firstLineChars="0"/>
              <w:rPr>
                <w:rFonts w:hint="default"/>
              </w:rPr>
            </w:pPr>
          </w:p>
          <w:p>
            <w:pPr>
              <w:pStyle w:val="3"/>
              <w:ind w:firstLine="0" w:firstLineChars="0"/>
              <w:rPr>
                <w:rFonts w:hint="default"/>
              </w:rPr>
            </w:pPr>
          </w:p>
        </w:tc>
      </w:tr>
    </w:tbl>
    <w:p>
      <w:pPr>
        <w:pStyle w:val="3"/>
        <w:ind w:firstLine="0" w:firstLineChars="0"/>
        <w:rPr>
          <w:rFonts w:hint="default"/>
        </w:rPr>
      </w:pPr>
      <w:r>
        <w:br w:type="page"/>
      </w:r>
    </w:p>
    <w:p>
      <w:pPr>
        <w:pStyle w:val="2"/>
        <w:numPr>
          <w:ilvl w:val="2"/>
          <w:numId w:val="0"/>
        </w:numPr>
        <w:jc w:val="left"/>
      </w:pPr>
      <w:r>
        <w:rPr>
          <w:rFonts w:hint="eastAsia"/>
        </w:rPr>
        <w:t xml:space="preserve">表P.3  </w:t>
      </w:r>
      <w:r>
        <w:rPr>
          <w:rFonts w:hint="eastAsia"/>
          <w:u w:val="single"/>
        </w:rPr>
        <w:t xml:space="preserve">        </w:t>
      </w:r>
      <w:r>
        <w:rPr>
          <w:rFonts w:hint="eastAsia"/>
        </w:rPr>
        <w:t>管涂层硬度、光谱、厚度记录表</w:t>
      </w:r>
    </w:p>
    <w:tbl>
      <w:tblPr>
        <w:tblStyle w:val="15"/>
        <w:tblW w:w="9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160"/>
        <w:gridCol w:w="1141"/>
        <w:gridCol w:w="742"/>
        <w:gridCol w:w="821"/>
        <w:gridCol w:w="979"/>
        <w:gridCol w:w="1121"/>
        <w:gridCol w:w="1105"/>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4" w:type="dxa"/>
            <w:gridSpan w:val="2"/>
            <w:vMerge w:val="restart"/>
            <w:vAlign w:val="center"/>
          </w:tcPr>
          <w:p>
            <w:pPr>
              <w:pStyle w:val="3"/>
              <w:ind w:firstLine="0" w:firstLineChars="0"/>
              <w:jc w:val="center"/>
              <w:rPr>
                <w:rFonts w:hint="default"/>
              </w:rPr>
            </w:pPr>
            <w:r>
              <w:t>检验设备名称</w:t>
            </w:r>
          </w:p>
        </w:tc>
        <w:tc>
          <w:tcPr>
            <w:tcW w:w="1141" w:type="dxa"/>
            <w:vAlign w:val="center"/>
          </w:tcPr>
          <w:p>
            <w:pPr>
              <w:pStyle w:val="3"/>
              <w:ind w:firstLine="0" w:firstLineChars="0"/>
              <w:jc w:val="center"/>
              <w:rPr>
                <w:rFonts w:hint="default"/>
              </w:rPr>
            </w:pPr>
            <w:r>
              <w:t>测厚仪</w:t>
            </w:r>
          </w:p>
        </w:tc>
        <w:tc>
          <w:tcPr>
            <w:tcW w:w="2542" w:type="dxa"/>
            <w:gridSpan w:val="3"/>
            <w:vMerge w:val="restart"/>
            <w:vAlign w:val="center"/>
          </w:tcPr>
          <w:p>
            <w:pPr>
              <w:pStyle w:val="3"/>
              <w:ind w:firstLine="0" w:firstLineChars="0"/>
              <w:jc w:val="center"/>
              <w:rPr>
                <w:rFonts w:hint="default"/>
              </w:rPr>
            </w:pPr>
            <w:r>
              <w:t>仪器型号</w:t>
            </w:r>
          </w:p>
        </w:tc>
        <w:tc>
          <w:tcPr>
            <w:tcW w:w="1121" w:type="dxa"/>
            <w:vAlign w:val="center"/>
          </w:tcPr>
          <w:p>
            <w:pPr>
              <w:pStyle w:val="3"/>
              <w:ind w:firstLine="420"/>
              <w:jc w:val="center"/>
              <w:rPr>
                <w:rFonts w:hint="default"/>
              </w:rPr>
            </w:pPr>
          </w:p>
        </w:tc>
        <w:tc>
          <w:tcPr>
            <w:tcW w:w="1105" w:type="dxa"/>
            <w:vMerge w:val="restart"/>
            <w:vAlign w:val="center"/>
          </w:tcPr>
          <w:p>
            <w:pPr>
              <w:pStyle w:val="3"/>
              <w:ind w:firstLine="0" w:firstLineChars="0"/>
              <w:jc w:val="center"/>
              <w:rPr>
                <w:rFonts w:hint="default"/>
              </w:rPr>
            </w:pPr>
            <w:r>
              <w:t>仪器精度</w:t>
            </w:r>
          </w:p>
        </w:tc>
        <w:tc>
          <w:tcPr>
            <w:tcW w:w="1627" w:type="dxa"/>
            <w:vAlign w:val="center"/>
          </w:tcPr>
          <w:p>
            <w:pPr>
              <w:pStyle w:val="3"/>
              <w:ind w:firstLine="42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4" w:type="dxa"/>
            <w:gridSpan w:val="2"/>
            <w:vMerge w:val="continue"/>
            <w:vAlign w:val="center"/>
          </w:tcPr>
          <w:p>
            <w:pPr>
              <w:pStyle w:val="3"/>
              <w:ind w:firstLine="420"/>
              <w:jc w:val="center"/>
              <w:rPr>
                <w:rFonts w:hint="default"/>
              </w:rPr>
            </w:pPr>
          </w:p>
        </w:tc>
        <w:tc>
          <w:tcPr>
            <w:tcW w:w="1141" w:type="dxa"/>
            <w:vAlign w:val="center"/>
          </w:tcPr>
          <w:p>
            <w:pPr>
              <w:pStyle w:val="3"/>
              <w:ind w:firstLine="0" w:firstLineChars="0"/>
              <w:jc w:val="center"/>
              <w:rPr>
                <w:rFonts w:hint="default"/>
              </w:rPr>
            </w:pPr>
            <w:r>
              <w:t>硬度计</w:t>
            </w:r>
          </w:p>
        </w:tc>
        <w:tc>
          <w:tcPr>
            <w:tcW w:w="2542" w:type="dxa"/>
            <w:gridSpan w:val="3"/>
            <w:vMerge w:val="continue"/>
            <w:vAlign w:val="center"/>
          </w:tcPr>
          <w:p>
            <w:pPr>
              <w:pStyle w:val="3"/>
              <w:ind w:firstLine="420"/>
              <w:jc w:val="center"/>
              <w:rPr>
                <w:rFonts w:hint="default"/>
              </w:rPr>
            </w:pPr>
          </w:p>
        </w:tc>
        <w:tc>
          <w:tcPr>
            <w:tcW w:w="1121" w:type="dxa"/>
            <w:vAlign w:val="center"/>
          </w:tcPr>
          <w:p>
            <w:pPr>
              <w:pStyle w:val="3"/>
              <w:ind w:firstLine="420"/>
              <w:jc w:val="center"/>
              <w:rPr>
                <w:rFonts w:hint="default"/>
              </w:rPr>
            </w:pPr>
          </w:p>
        </w:tc>
        <w:tc>
          <w:tcPr>
            <w:tcW w:w="1105" w:type="dxa"/>
            <w:vMerge w:val="continue"/>
            <w:vAlign w:val="center"/>
          </w:tcPr>
          <w:p>
            <w:pPr>
              <w:pStyle w:val="3"/>
              <w:ind w:firstLine="420"/>
              <w:jc w:val="center"/>
              <w:rPr>
                <w:rFonts w:hint="default"/>
              </w:rPr>
            </w:pPr>
          </w:p>
        </w:tc>
        <w:tc>
          <w:tcPr>
            <w:tcW w:w="1627" w:type="dxa"/>
            <w:vAlign w:val="center"/>
          </w:tcPr>
          <w:p>
            <w:pPr>
              <w:pStyle w:val="3"/>
              <w:ind w:firstLine="42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4" w:type="dxa"/>
            <w:gridSpan w:val="2"/>
            <w:vMerge w:val="continue"/>
            <w:vAlign w:val="center"/>
          </w:tcPr>
          <w:p>
            <w:pPr>
              <w:pStyle w:val="3"/>
              <w:ind w:firstLine="0" w:firstLineChars="0"/>
              <w:jc w:val="center"/>
              <w:rPr>
                <w:rFonts w:hint="default"/>
              </w:rPr>
            </w:pPr>
          </w:p>
        </w:tc>
        <w:tc>
          <w:tcPr>
            <w:tcW w:w="1141" w:type="dxa"/>
            <w:vAlign w:val="center"/>
          </w:tcPr>
          <w:p>
            <w:pPr>
              <w:pStyle w:val="3"/>
              <w:ind w:firstLine="0" w:firstLineChars="0"/>
              <w:jc w:val="center"/>
              <w:rPr>
                <w:rFonts w:hint="default"/>
              </w:rPr>
            </w:pPr>
            <w:r>
              <w:t>光谱仪</w:t>
            </w:r>
          </w:p>
        </w:tc>
        <w:tc>
          <w:tcPr>
            <w:tcW w:w="2542" w:type="dxa"/>
            <w:gridSpan w:val="3"/>
            <w:vMerge w:val="continue"/>
            <w:vAlign w:val="center"/>
          </w:tcPr>
          <w:p>
            <w:pPr>
              <w:pStyle w:val="3"/>
              <w:ind w:firstLine="0" w:firstLineChars="0"/>
              <w:jc w:val="center"/>
              <w:rPr>
                <w:rFonts w:hint="default"/>
              </w:rPr>
            </w:pPr>
          </w:p>
        </w:tc>
        <w:tc>
          <w:tcPr>
            <w:tcW w:w="1121" w:type="dxa"/>
            <w:vAlign w:val="center"/>
          </w:tcPr>
          <w:p>
            <w:pPr>
              <w:pStyle w:val="3"/>
              <w:ind w:firstLine="420"/>
              <w:jc w:val="center"/>
              <w:rPr>
                <w:rFonts w:hint="default"/>
              </w:rPr>
            </w:pPr>
          </w:p>
        </w:tc>
        <w:tc>
          <w:tcPr>
            <w:tcW w:w="1105" w:type="dxa"/>
            <w:vMerge w:val="continue"/>
            <w:vAlign w:val="center"/>
          </w:tcPr>
          <w:p>
            <w:pPr>
              <w:pStyle w:val="3"/>
              <w:ind w:firstLine="0" w:firstLineChars="0"/>
              <w:jc w:val="center"/>
              <w:rPr>
                <w:rFonts w:hint="default"/>
              </w:rPr>
            </w:pPr>
          </w:p>
        </w:tc>
        <w:tc>
          <w:tcPr>
            <w:tcW w:w="1627" w:type="dxa"/>
            <w:vAlign w:val="center"/>
          </w:tcPr>
          <w:p>
            <w:pPr>
              <w:pStyle w:val="3"/>
              <w:ind w:firstLine="42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4" w:type="dxa"/>
            <w:gridSpan w:val="2"/>
            <w:vAlign w:val="center"/>
          </w:tcPr>
          <w:p>
            <w:pPr>
              <w:pStyle w:val="3"/>
              <w:ind w:firstLine="0" w:firstLineChars="0"/>
              <w:jc w:val="center"/>
              <w:rPr>
                <w:rFonts w:hint="default"/>
              </w:rPr>
            </w:pPr>
            <w:r>
              <w:t>喷涂材质</w:t>
            </w:r>
          </w:p>
        </w:tc>
        <w:tc>
          <w:tcPr>
            <w:tcW w:w="1141" w:type="dxa"/>
            <w:vAlign w:val="center"/>
          </w:tcPr>
          <w:p>
            <w:pPr>
              <w:pStyle w:val="3"/>
              <w:ind w:firstLine="420"/>
              <w:jc w:val="center"/>
              <w:rPr>
                <w:rFonts w:hint="default"/>
              </w:rPr>
            </w:pPr>
          </w:p>
        </w:tc>
        <w:tc>
          <w:tcPr>
            <w:tcW w:w="2542" w:type="dxa"/>
            <w:gridSpan w:val="3"/>
            <w:vAlign w:val="center"/>
          </w:tcPr>
          <w:p>
            <w:pPr>
              <w:pStyle w:val="3"/>
              <w:ind w:firstLine="0" w:firstLineChars="0"/>
              <w:jc w:val="center"/>
              <w:rPr>
                <w:rFonts w:hint="default"/>
              </w:rPr>
            </w:pPr>
            <w:r>
              <w:t>检验人员</w:t>
            </w:r>
          </w:p>
        </w:tc>
        <w:tc>
          <w:tcPr>
            <w:tcW w:w="1121" w:type="dxa"/>
            <w:vAlign w:val="center"/>
          </w:tcPr>
          <w:p>
            <w:pPr>
              <w:pStyle w:val="3"/>
              <w:ind w:firstLine="420"/>
              <w:jc w:val="center"/>
              <w:rPr>
                <w:rFonts w:hint="default"/>
              </w:rPr>
            </w:pPr>
          </w:p>
        </w:tc>
        <w:tc>
          <w:tcPr>
            <w:tcW w:w="1105" w:type="dxa"/>
            <w:vAlign w:val="center"/>
          </w:tcPr>
          <w:p>
            <w:pPr>
              <w:pStyle w:val="3"/>
              <w:ind w:firstLine="0" w:firstLineChars="0"/>
              <w:jc w:val="center"/>
              <w:rPr>
                <w:rFonts w:hint="default"/>
              </w:rPr>
            </w:pPr>
            <w:r>
              <w:t>检验时间</w:t>
            </w:r>
          </w:p>
        </w:tc>
        <w:tc>
          <w:tcPr>
            <w:tcW w:w="1627" w:type="dxa"/>
            <w:vAlign w:val="center"/>
          </w:tcPr>
          <w:p>
            <w:pPr>
              <w:pStyle w:val="3"/>
              <w:ind w:firstLine="42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7" w:hRule="atLeast"/>
          <w:jc w:val="center"/>
        </w:trPr>
        <w:tc>
          <w:tcPr>
            <w:tcW w:w="2034" w:type="dxa"/>
            <w:gridSpan w:val="2"/>
            <w:vAlign w:val="center"/>
          </w:tcPr>
          <w:p>
            <w:pPr>
              <w:pStyle w:val="3"/>
              <w:ind w:firstLine="0" w:firstLineChars="0"/>
              <w:jc w:val="center"/>
              <w:rPr>
                <w:rFonts w:hint="default"/>
              </w:rPr>
            </w:pPr>
            <w:r>
              <w:t>测量位置</w:t>
            </w:r>
          </w:p>
        </w:tc>
        <w:tc>
          <w:tcPr>
            <w:tcW w:w="7536" w:type="dxa"/>
            <w:gridSpan w:val="7"/>
            <w:vAlign w:val="center"/>
          </w:tcPr>
          <w:p>
            <w:pPr>
              <w:pStyle w:val="3"/>
              <w:ind w:firstLine="42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Align w:val="center"/>
          </w:tcPr>
          <w:p>
            <w:pPr>
              <w:pStyle w:val="3"/>
              <w:ind w:firstLine="0" w:firstLineChars="0"/>
              <w:jc w:val="center"/>
              <w:rPr>
                <w:rFonts w:hint="default"/>
              </w:rPr>
            </w:pPr>
            <w:r>
              <w:t>序号</w:t>
            </w:r>
          </w:p>
        </w:tc>
        <w:tc>
          <w:tcPr>
            <w:tcW w:w="2301" w:type="dxa"/>
            <w:gridSpan w:val="2"/>
            <w:vAlign w:val="center"/>
          </w:tcPr>
          <w:p>
            <w:pPr>
              <w:pStyle w:val="3"/>
              <w:ind w:firstLine="0" w:firstLineChars="0"/>
              <w:jc w:val="center"/>
              <w:rPr>
                <w:rFonts w:hint="default"/>
              </w:rPr>
            </w:pPr>
            <w:r>
              <w:t>测量方向（顺时针）</w:t>
            </w:r>
          </w:p>
        </w:tc>
        <w:tc>
          <w:tcPr>
            <w:tcW w:w="742" w:type="dxa"/>
            <w:vAlign w:val="center"/>
          </w:tcPr>
          <w:p>
            <w:pPr>
              <w:pStyle w:val="3"/>
              <w:ind w:firstLine="0" w:firstLineChars="0"/>
              <w:jc w:val="center"/>
              <w:rPr>
                <w:rFonts w:hint="default"/>
              </w:rPr>
            </w:pPr>
            <w:r>
              <w:t>硬度</w:t>
            </w:r>
          </w:p>
        </w:tc>
        <w:tc>
          <w:tcPr>
            <w:tcW w:w="821" w:type="dxa"/>
            <w:vAlign w:val="center"/>
          </w:tcPr>
          <w:p>
            <w:pPr>
              <w:pStyle w:val="3"/>
              <w:ind w:firstLine="0" w:firstLineChars="0"/>
              <w:jc w:val="center"/>
              <w:rPr>
                <w:rFonts w:hint="default"/>
              </w:rPr>
            </w:pPr>
            <w:r>
              <w:t>光谱</w:t>
            </w:r>
          </w:p>
        </w:tc>
        <w:tc>
          <w:tcPr>
            <w:tcW w:w="979" w:type="dxa"/>
            <w:vAlign w:val="center"/>
          </w:tcPr>
          <w:p>
            <w:pPr>
              <w:pStyle w:val="3"/>
              <w:ind w:firstLine="0" w:firstLineChars="0"/>
              <w:jc w:val="center"/>
              <w:rPr>
                <w:rFonts w:hint="default"/>
              </w:rPr>
            </w:pPr>
            <w:r>
              <w:t>喷涂前</w:t>
            </w:r>
          </w:p>
          <w:p>
            <w:pPr>
              <w:pStyle w:val="3"/>
              <w:ind w:firstLine="0" w:firstLineChars="0"/>
              <w:jc w:val="center"/>
              <w:rPr>
                <w:rFonts w:hint="default"/>
              </w:rPr>
            </w:pPr>
            <w:r>
              <w:t xml:space="preserve"> mm</w:t>
            </w:r>
          </w:p>
        </w:tc>
        <w:tc>
          <w:tcPr>
            <w:tcW w:w="1121" w:type="dxa"/>
            <w:vAlign w:val="center"/>
          </w:tcPr>
          <w:p>
            <w:pPr>
              <w:pStyle w:val="3"/>
              <w:ind w:firstLine="0" w:firstLineChars="0"/>
              <w:jc w:val="center"/>
              <w:rPr>
                <w:rFonts w:hint="default"/>
              </w:rPr>
            </w:pPr>
            <w:r>
              <w:t>喷涂后</w:t>
            </w:r>
          </w:p>
          <w:p>
            <w:pPr>
              <w:pStyle w:val="3"/>
              <w:ind w:firstLine="0" w:firstLineChars="0"/>
              <w:jc w:val="center"/>
              <w:rPr>
                <w:rFonts w:hint="default"/>
              </w:rPr>
            </w:pPr>
            <w:r>
              <w:t xml:space="preserve"> mm</w:t>
            </w:r>
          </w:p>
        </w:tc>
        <w:tc>
          <w:tcPr>
            <w:tcW w:w="1105" w:type="dxa"/>
            <w:vAlign w:val="center"/>
          </w:tcPr>
          <w:p>
            <w:pPr>
              <w:pStyle w:val="3"/>
              <w:ind w:firstLine="0" w:firstLineChars="0"/>
              <w:jc w:val="center"/>
              <w:rPr>
                <w:rFonts w:hint="default"/>
              </w:rPr>
            </w:pPr>
            <w:r>
              <w:t xml:space="preserve">涂层厚度 </w:t>
            </w:r>
          </w:p>
          <w:p>
            <w:pPr>
              <w:pStyle w:val="3"/>
              <w:ind w:firstLine="0" w:firstLineChars="0"/>
              <w:jc w:val="center"/>
              <w:rPr>
                <w:rFonts w:hint="default"/>
              </w:rPr>
            </w:pPr>
            <w:r>
              <w:t>mm</w:t>
            </w:r>
          </w:p>
        </w:tc>
        <w:tc>
          <w:tcPr>
            <w:tcW w:w="1627" w:type="dxa"/>
            <w:vAlign w:val="center"/>
          </w:tcPr>
          <w:p>
            <w:pPr>
              <w:pStyle w:val="3"/>
              <w:ind w:firstLine="0" w:firstLineChars="0"/>
              <w:jc w:val="center"/>
              <w:rPr>
                <w:rFonts w:hint="default"/>
              </w:rP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1</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2</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3</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4</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5</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restart"/>
            <w:vAlign w:val="center"/>
          </w:tcPr>
          <w:p>
            <w:pPr>
              <w:pStyle w:val="3"/>
              <w:ind w:firstLine="0" w:firstLineChars="0"/>
              <w:rPr>
                <w:rFonts w:hint="default"/>
              </w:rPr>
            </w:pPr>
            <w:r>
              <w:t>6</w:t>
            </w: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测量点1</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4" w:type="dxa"/>
            <w:vMerge w:val="continue"/>
            <w:vAlign w:val="center"/>
          </w:tcPr>
          <w:p>
            <w:pPr>
              <w:pStyle w:val="3"/>
              <w:ind w:firstLine="420"/>
              <w:rPr>
                <w:rFonts w:hint="default"/>
              </w:rPr>
            </w:pPr>
          </w:p>
        </w:tc>
        <w:tc>
          <w:tcPr>
            <w:tcW w:w="1160" w:type="dxa"/>
            <w:vAlign w:val="center"/>
          </w:tcPr>
          <w:p>
            <w:pPr>
              <w:pStyle w:val="3"/>
              <w:ind w:firstLine="0" w:firstLineChars="0"/>
              <w:rPr>
                <w:rFonts w:hint="default"/>
              </w:rPr>
            </w:pPr>
            <w:r>
              <w:t>第 根</w:t>
            </w:r>
          </w:p>
        </w:tc>
        <w:tc>
          <w:tcPr>
            <w:tcW w:w="1141" w:type="dxa"/>
            <w:vAlign w:val="center"/>
          </w:tcPr>
          <w:p>
            <w:pPr>
              <w:pStyle w:val="3"/>
              <w:ind w:firstLine="0" w:firstLineChars="0"/>
              <w:rPr>
                <w:rFonts w:hint="default"/>
              </w:rPr>
            </w:pPr>
            <w:r>
              <w:t>测量点2</w:t>
            </w:r>
          </w:p>
        </w:tc>
        <w:tc>
          <w:tcPr>
            <w:tcW w:w="742" w:type="dxa"/>
            <w:vAlign w:val="center"/>
          </w:tcPr>
          <w:p>
            <w:pPr>
              <w:pStyle w:val="3"/>
              <w:ind w:firstLine="420"/>
              <w:rPr>
                <w:rFonts w:hint="default"/>
              </w:rPr>
            </w:pPr>
          </w:p>
        </w:tc>
        <w:tc>
          <w:tcPr>
            <w:tcW w:w="821" w:type="dxa"/>
            <w:vAlign w:val="center"/>
          </w:tcPr>
          <w:p>
            <w:pPr>
              <w:pStyle w:val="3"/>
              <w:ind w:firstLine="420"/>
              <w:rPr>
                <w:rFonts w:hint="default"/>
              </w:rPr>
            </w:pPr>
          </w:p>
        </w:tc>
        <w:tc>
          <w:tcPr>
            <w:tcW w:w="979" w:type="dxa"/>
            <w:vAlign w:val="center"/>
          </w:tcPr>
          <w:p>
            <w:pPr>
              <w:pStyle w:val="3"/>
              <w:ind w:firstLine="420"/>
              <w:rPr>
                <w:rFonts w:hint="default"/>
              </w:rPr>
            </w:pPr>
          </w:p>
        </w:tc>
        <w:tc>
          <w:tcPr>
            <w:tcW w:w="1121" w:type="dxa"/>
            <w:vAlign w:val="center"/>
          </w:tcPr>
          <w:p>
            <w:pPr>
              <w:pStyle w:val="3"/>
              <w:ind w:firstLine="420"/>
              <w:rPr>
                <w:rFonts w:hint="default"/>
              </w:rPr>
            </w:pPr>
          </w:p>
        </w:tc>
        <w:tc>
          <w:tcPr>
            <w:tcW w:w="1105" w:type="dxa"/>
            <w:vAlign w:val="center"/>
          </w:tcPr>
          <w:p>
            <w:pPr>
              <w:pStyle w:val="3"/>
              <w:ind w:firstLine="420"/>
              <w:rPr>
                <w:rFonts w:hint="default"/>
              </w:rPr>
            </w:pPr>
          </w:p>
        </w:tc>
        <w:tc>
          <w:tcPr>
            <w:tcW w:w="1627" w:type="dxa"/>
            <w:vAlign w:val="center"/>
          </w:tcPr>
          <w:p>
            <w:pPr>
              <w:pStyle w:val="3"/>
              <w:ind w:firstLine="420"/>
              <w:rPr>
                <w:rFonts w:hint="default"/>
              </w:rPr>
            </w:pPr>
          </w:p>
        </w:tc>
      </w:tr>
    </w:tbl>
    <w:p>
      <w:pPr>
        <w:pStyle w:val="3"/>
        <w:ind w:firstLine="0" w:firstLineChars="0"/>
        <w:rPr>
          <w:rFonts w:hint="default"/>
        </w:rPr>
      </w:pPr>
    </w:p>
    <w:p>
      <w:pPr>
        <w:spacing w:line="360" w:lineRule="auto"/>
        <w:ind w:firstLine="480" w:firstLineChars="200"/>
        <w:rPr>
          <w:sz w:val="24"/>
          <w:szCs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华康宋体W5(P)">
    <w:altName w:val="宋体"/>
    <w:panose1 w:val="00000000000000000000"/>
    <w:charset w:val="86"/>
    <w:family w:val="roma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4"/>
      </w:rPr>
    </w:pPr>
    <w:r>
      <w:fldChar w:fldCharType="begin"/>
    </w:r>
    <w:r>
      <w:rPr>
        <w:rStyle w:val="14"/>
      </w:rPr>
      <w:instrText xml:space="preserve">PAGE  </w:instrText>
    </w:r>
    <w:r>
      <w:fldChar w:fldCharType="separate"/>
    </w:r>
    <w:r>
      <w:rPr>
        <w:rStyle w:val="14"/>
      </w:rPr>
      <w:t>4</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4"/>
      </w:rPr>
    </w:pPr>
    <w:r>
      <w:fldChar w:fldCharType="begin"/>
    </w:r>
    <w:r>
      <w:rPr>
        <w:rStyle w:val="14"/>
      </w:rPr>
      <w:instrText xml:space="preserve">PAGE  </w:instrText>
    </w:r>
    <w: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7BDCA5"/>
    <w:multiLevelType w:val="multilevel"/>
    <w:tmpl w:val="F87BDCA5"/>
    <w:lvl w:ilvl="0" w:tentative="0">
      <w:start w:val="1"/>
      <w:numFmt w:val="upperLetter"/>
      <w:lvlText w:val="%1."/>
      <w:lvlJc w:val="left"/>
      <w:pPr>
        <w:tabs>
          <w:tab w:val="left" w:pos="420"/>
        </w:tabs>
        <w:ind w:left="425" w:hanging="425"/>
      </w:pPr>
      <w:rPr>
        <w:rFonts w:hint="default" w:ascii="宋体" w:hAnsi="宋体" w:eastAsia="宋体" w:cs="宋体"/>
      </w:rPr>
    </w:lvl>
    <w:lvl w:ilvl="1" w:tentative="0">
      <w:start w:val="1"/>
      <w:numFmt w:val="lowerLetter"/>
      <w:lvlText w:val="%2)"/>
      <w:lvlJc w:val="left"/>
      <w:pPr>
        <w:tabs>
          <w:tab w:val="left" w:pos="840"/>
        </w:tabs>
        <w:ind w:left="840" w:hanging="420"/>
      </w:pPr>
      <w:rPr>
        <w:rFonts w:hint="default"/>
      </w:rPr>
    </w:lvl>
    <w:lvl w:ilvl="2" w:tentative="0">
      <w:start w:val="1"/>
      <w:numFmt w:val="upperLetter"/>
      <w:pStyle w:val="2"/>
      <w:lvlText w:val="附录%3."/>
      <w:lvlJc w:val="left"/>
      <w:pPr>
        <w:tabs>
          <w:tab w:val="left" w:pos="1260"/>
        </w:tabs>
        <w:ind w:left="1260" w:hanging="420"/>
      </w:pPr>
      <w:rPr>
        <w:rFonts w:hint="default" w:ascii="宋体" w:hAnsi="宋体" w:eastAsia="宋体" w:cs="宋体"/>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1">
    <w:nsid w:val="05B63EFC"/>
    <w:multiLevelType w:val="multilevel"/>
    <w:tmpl w:val="05B63EFC"/>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537B527C"/>
    <w:multiLevelType w:val="multilevel"/>
    <w:tmpl w:val="537B527C"/>
    <w:lvl w:ilvl="0" w:tentative="0">
      <w:start w:val="5"/>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CCA6A17"/>
    <w:multiLevelType w:val="multilevel"/>
    <w:tmpl w:val="5CCA6A17"/>
    <w:lvl w:ilvl="0" w:tentative="0">
      <w:start w:val="2"/>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CC05BCE"/>
    <w:multiLevelType w:val="multilevel"/>
    <w:tmpl w:val="6CC05BCE"/>
    <w:lvl w:ilvl="0" w:tentative="0">
      <w:start w:val="1"/>
      <w:numFmt w:val="decimal"/>
      <w:lvlText w:val="%1)"/>
      <w:lvlJc w:val="left"/>
      <w:pPr>
        <w:ind w:left="899" w:hanging="420"/>
      </w:p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A66"/>
    <w:rsid w:val="00020759"/>
    <w:rsid w:val="00024EF4"/>
    <w:rsid w:val="00061475"/>
    <w:rsid w:val="00064EE1"/>
    <w:rsid w:val="0008057C"/>
    <w:rsid w:val="000903B3"/>
    <w:rsid w:val="000B12C4"/>
    <w:rsid w:val="000F2544"/>
    <w:rsid w:val="001021A4"/>
    <w:rsid w:val="0011265A"/>
    <w:rsid w:val="0013597C"/>
    <w:rsid w:val="00142257"/>
    <w:rsid w:val="00145221"/>
    <w:rsid w:val="00146C04"/>
    <w:rsid w:val="00172A27"/>
    <w:rsid w:val="00181C0C"/>
    <w:rsid w:val="001A6F02"/>
    <w:rsid w:val="001F12AA"/>
    <w:rsid w:val="001F2CC6"/>
    <w:rsid w:val="001F69F8"/>
    <w:rsid w:val="00226409"/>
    <w:rsid w:val="0023356B"/>
    <w:rsid w:val="00233E53"/>
    <w:rsid w:val="002350D7"/>
    <w:rsid w:val="00236E9C"/>
    <w:rsid w:val="00280293"/>
    <w:rsid w:val="002A67F4"/>
    <w:rsid w:val="002E45EF"/>
    <w:rsid w:val="00305753"/>
    <w:rsid w:val="00315ABE"/>
    <w:rsid w:val="003456D1"/>
    <w:rsid w:val="00384AC7"/>
    <w:rsid w:val="003B330F"/>
    <w:rsid w:val="003C704F"/>
    <w:rsid w:val="0040121E"/>
    <w:rsid w:val="00441A37"/>
    <w:rsid w:val="004454CA"/>
    <w:rsid w:val="004620ED"/>
    <w:rsid w:val="00476574"/>
    <w:rsid w:val="004B0B49"/>
    <w:rsid w:val="004E7B8D"/>
    <w:rsid w:val="00522B7B"/>
    <w:rsid w:val="00522D2F"/>
    <w:rsid w:val="00560453"/>
    <w:rsid w:val="00580D77"/>
    <w:rsid w:val="00580E60"/>
    <w:rsid w:val="0058131F"/>
    <w:rsid w:val="0058169A"/>
    <w:rsid w:val="005901A5"/>
    <w:rsid w:val="005B74CF"/>
    <w:rsid w:val="005C4420"/>
    <w:rsid w:val="00603B04"/>
    <w:rsid w:val="00611765"/>
    <w:rsid w:val="0064441C"/>
    <w:rsid w:val="006A6EE1"/>
    <w:rsid w:val="006E27A3"/>
    <w:rsid w:val="007017BC"/>
    <w:rsid w:val="00702F50"/>
    <w:rsid w:val="00711EC4"/>
    <w:rsid w:val="00721818"/>
    <w:rsid w:val="00737B4B"/>
    <w:rsid w:val="00792B38"/>
    <w:rsid w:val="007965BA"/>
    <w:rsid w:val="00812BCE"/>
    <w:rsid w:val="008756B6"/>
    <w:rsid w:val="00894F05"/>
    <w:rsid w:val="008C04CD"/>
    <w:rsid w:val="008D119E"/>
    <w:rsid w:val="0091016A"/>
    <w:rsid w:val="00910EEA"/>
    <w:rsid w:val="00917F91"/>
    <w:rsid w:val="009867CC"/>
    <w:rsid w:val="009B44E2"/>
    <w:rsid w:val="009C0ED4"/>
    <w:rsid w:val="00A869FC"/>
    <w:rsid w:val="00AF1359"/>
    <w:rsid w:val="00B24CE9"/>
    <w:rsid w:val="00B768A1"/>
    <w:rsid w:val="00B83234"/>
    <w:rsid w:val="00B86F7A"/>
    <w:rsid w:val="00BB6B4A"/>
    <w:rsid w:val="00BE554B"/>
    <w:rsid w:val="00C40826"/>
    <w:rsid w:val="00C479FF"/>
    <w:rsid w:val="00C513BA"/>
    <w:rsid w:val="00CE19DD"/>
    <w:rsid w:val="00CE474B"/>
    <w:rsid w:val="00CE51DE"/>
    <w:rsid w:val="00D2679E"/>
    <w:rsid w:val="00D50578"/>
    <w:rsid w:val="00D710CA"/>
    <w:rsid w:val="00D962CB"/>
    <w:rsid w:val="00DC1708"/>
    <w:rsid w:val="00DF45BE"/>
    <w:rsid w:val="00E62FA2"/>
    <w:rsid w:val="00E668BF"/>
    <w:rsid w:val="00EA1D4A"/>
    <w:rsid w:val="00EB4BA8"/>
    <w:rsid w:val="00EB53A1"/>
    <w:rsid w:val="00EB774B"/>
    <w:rsid w:val="00EE47C2"/>
    <w:rsid w:val="00EF3BBF"/>
    <w:rsid w:val="00F15B53"/>
    <w:rsid w:val="00F557E4"/>
    <w:rsid w:val="029F2173"/>
    <w:rsid w:val="074D07A5"/>
    <w:rsid w:val="089036AD"/>
    <w:rsid w:val="08A55F44"/>
    <w:rsid w:val="092717F2"/>
    <w:rsid w:val="09723A33"/>
    <w:rsid w:val="0B570E0C"/>
    <w:rsid w:val="0F465B28"/>
    <w:rsid w:val="0FF90E59"/>
    <w:rsid w:val="107C6FC4"/>
    <w:rsid w:val="11433DF1"/>
    <w:rsid w:val="11F2614A"/>
    <w:rsid w:val="16F73F36"/>
    <w:rsid w:val="18330B85"/>
    <w:rsid w:val="1871385F"/>
    <w:rsid w:val="18EC0409"/>
    <w:rsid w:val="19661BA9"/>
    <w:rsid w:val="19EB374B"/>
    <w:rsid w:val="1B3279DF"/>
    <w:rsid w:val="1D3A02FD"/>
    <w:rsid w:val="1D8B67B5"/>
    <w:rsid w:val="1E9C5109"/>
    <w:rsid w:val="1F676D12"/>
    <w:rsid w:val="20535572"/>
    <w:rsid w:val="216954C5"/>
    <w:rsid w:val="22F13A04"/>
    <w:rsid w:val="24B90C9C"/>
    <w:rsid w:val="25525DED"/>
    <w:rsid w:val="25B254E9"/>
    <w:rsid w:val="26C918FA"/>
    <w:rsid w:val="2A820D09"/>
    <w:rsid w:val="2AF41A87"/>
    <w:rsid w:val="2B091CAD"/>
    <w:rsid w:val="2D825124"/>
    <w:rsid w:val="2E8C6345"/>
    <w:rsid w:val="2F546B9A"/>
    <w:rsid w:val="3223785F"/>
    <w:rsid w:val="326E6ABB"/>
    <w:rsid w:val="32C51B8D"/>
    <w:rsid w:val="33D870C6"/>
    <w:rsid w:val="38305BD2"/>
    <w:rsid w:val="3881310D"/>
    <w:rsid w:val="38FD7E8D"/>
    <w:rsid w:val="3D8B36CC"/>
    <w:rsid w:val="3E482D4B"/>
    <w:rsid w:val="3E547DCB"/>
    <w:rsid w:val="3FAB16CE"/>
    <w:rsid w:val="4447319C"/>
    <w:rsid w:val="458F3CCB"/>
    <w:rsid w:val="47D36501"/>
    <w:rsid w:val="4945636C"/>
    <w:rsid w:val="4ABF1B45"/>
    <w:rsid w:val="4CEC2C79"/>
    <w:rsid w:val="4DFA6B64"/>
    <w:rsid w:val="50E52420"/>
    <w:rsid w:val="512A15EC"/>
    <w:rsid w:val="51C5185E"/>
    <w:rsid w:val="51DD0FCC"/>
    <w:rsid w:val="52887070"/>
    <w:rsid w:val="532B2077"/>
    <w:rsid w:val="55296A7A"/>
    <w:rsid w:val="56ED2526"/>
    <w:rsid w:val="57972F80"/>
    <w:rsid w:val="57C34E53"/>
    <w:rsid w:val="580A1D4E"/>
    <w:rsid w:val="5B035575"/>
    <w:rsid w:val="5B684D43"/>
    <w:rsid w:val="5BDC6576"/>
    <w:rsid w:val="60C61F62"/>
    <w:rsid w:val="610D15D5"/>
    <w:rsid w:val="619B70F2"/>
    <w:rsid w:val="624E46AB"/>
    <w:rsid w:val="62AD1F26"/>
    <w:rsid w:val="647B4530"/>
    <w:rsid w:val="65121DCF"/>
    <w:rsid w:val="653F01A8"/>
    <w:rsid w:val="65637DF9"/>
    <w:rsid w:val="68DB1B2B"/>
    <w:rsid w:val="691A3A31"/>
    <w:rsid w:val="696A60C3"/>
    <w:rsid w:val="6C3074E4"/>
    <w:rsid w:val="6DFF167A"/>
    <w:rsid w:val="6E234FED"/>
    <w:rsid w:val="6E914A80"/>
    <w:rsid w:val="7003146F"/>
    <w:rsid w:val="70327439"/>
    <w:rsid w:val="742C0FA0"/>
    <w:rsid w:val="75583B55"/>
    <w:rsid w:val="76216046"/>
    <w:rsid w:val="76840BEC"/>
    <w:rsid w:val="77E23668"/>
    <w:rsid w:val="77FF0F6F"/>
    <w:rsid w:val="785E5E03"/>
    <w:rsid w:val="78E30AA4"/>
    <w:rsid w:val="79533C08"/>
    <w:rsid w:val="7B01664A"/>
    <w:rsid w:val="7DF146FA"/>
    <w:rsid w:val="7F242F7E"/>
    <w:rsid w:val="7FB47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3"/>
    <w:qFormat/>
    <w:uiPriority w:val="0"/>
    <w:pPr>
      <w:numPr>
        <w:ilvl w:val="2"/>
        <w:numId w:val="1"/>
      </w:numPr>
      <w:ind w:left="525" w:leftChars="50" w:right="105" w:rightChars="50" w:firstLine="0"/>
      <w:outlineLvl w:val="2"/>
    </w:pPr>
    <w:rPr>
      <w:rFonts w:ascii="黑体" w:hAnsi="黑体"/>
      <w:b/>
    </w:rPr>
  </w:style>
  <w:style w:type="character" w:default="1" w:styleId="13">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customStyle="1" w:styleId="3">
    <w:name w:val="正文2"/>
    <w:basedOn w:val="1"/>
    <w:qFormat/>
    <w:uiPriority w:val="0"/>
    <w:pPr>
      <w:spacing w:line="288" w:lineRule="auto"/>
      <w:ind w:firstLine="572" w:firstLineChars="200"/>
    </w:pPr>
    <w:rPr>
      <w:rFonts w:hint="eastAsia"/>
    </w:rPr>
  </w:style>
  <w:style w:type="paragraph" w:styleId="4">
    <w:name w:val="List 3"/>
    <w:basedOn w:val="1"/>
    <w:qFormat/>
    <w:uiPriority w:val="0"/>
    <w:pPr>
      <w:ind w:left="100" w:leftChars="400" w:hanging="200" w:hangingChars="200"/>
    </w:pPr>
    <w:rPr>
      <w:szCs w:val="24"/>
    </w:rPr>
  </w:style>
  <w:style w:type="paragraph" w:styleId="5">
    <w:name w:val="Body Text"/>
    <w:basedOn w:val="1"/>
    <w:qFormat/>
    <w:uiPriority w:val="0"/>
    <w:pPr>
      <w:widowControl/>
      <w:spacing w:after="240" w:line="360" w:lineRule="auto"/>
    </w:pPr>
    <w:rPr>
      <w:rFonts w:ascii="宋体" w:hAnsi="Garamond"/>
      <w:spacing w:val="-5"/>
      <w:kern w:val="0"/>
      <w:sz w:val="24"/>
      <w:lang w:bidi="he-IL"/>
    </w:rPr>
  </w:style>
  <w:style w:type="paragraph" w:styleId="6">
    <w:name w:val="Body Text Indent"/>
    <w:basedOn w:val="1"/>
    <w:qFormat/>
    <w:uiPriority w:val="99"/>
    <w:pPr>
      <w:spacing w:after="120"/>
      <w:ind w:left="420" w:leftChars="200"/>
    </w:pPr>
  </w:style>
  <w:style w:type="paragraph" w:styleId="7">
    <w:name w:val="Plain Text"/>
    <w:basedOn w:val="1"/>
    <w:qFormat/>
    <w:uiPriority w:val="0"/>
    <w:rPr>
      <w:rFonts w:ascii="宋体" w:hAnsi="Courier New" w:cs="Courier New"/>
      <w:szCs w:val="21"/>
    </w:rPr>
  </w:style>
  <w:style w:type="paragraph" w:styleId="8">
    <w:name w:val="Date"/>
    <w:basedOn w:val="1"/>
    <w:next w:val="1"/>
    <w:qFormat/>
    <w:uiPriority w:val="0"/>
    <w:pPr>
      <w:ind w:left="100" w:leftChars="2500"/>
    </w:pPr>
  </w:style>
  <w:style w:type="paragraph" w:styleId="9">
    <w:name w:val="Balloon Text"/>
    <w:basedOn w:val="1"/>
    <w:link w:val="19"/>
    <w:unhideWhenUsed/>
    <w:qFormat/>
    <w:uiPriority w:val="99"/>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itle"/>
    <w:basedOn w:val="1"/>
    <w:next w:val="1"/>
    <w:link w:val="18"/>
    <w:qFormat/>
    <w:uiPriority w:val="99"/>
    <w:pPr>
      <w:spacing w:before="240" w:after="60"/>
      <w:ind w:right="-57"/>
      <w:jc w:val="center"/>
      <w:outlineLvl w:val="0"/>
    </w:pPr>
    <w:rPr>
      <w:rFonts w:ascii="Cambria" w:hAnsi="Cambria"/>
      <w:b/>
      <w:bCs/>
      <w:sz w:val="32"/>
      <w:szCs w:val="32"/>
    </w:rPr>
  </w:style>
  <w:style w:type="character" w:styleId="14">
    <w:name w:val="page number"/>
    <w:basedOn w:val="13"/>
    <w:qFormat/>
    <w:uiPriority w:val="0"/>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7">
    <w:name w:val="页眉 字符"/>
    <w:link w:val="11"/>
    <w:semiHidden/>
    <w:qFormat/>
    <w:uiPriority w:val="99"/>
    <w:rPr>
      <w:kern w:val="2"/>
      <w:sz w:val="18"/>
      <w:szCs w:val="18"/>
    </w:rPr>
  </w:style>
  <w:style w:type="character" w:customStyle="1" w:styleId="18">
    <w:name w:val="标题 字符"/>
    <w:link w:val="12"/>
    <w:qFormat/>
    <w:uiPriority w:val="99"/>
    <w:rPr>
      <w:rFonts w:ascii="Cambria" w:hAnsi="Cambria"/>
      <w:b/>
      <w:bCs/>
      <w:kern w:val="2"/>
      <w:sz w:val="32"/>
      <w:szCs w:val="32"/>
    </w:rPr>
  </w:style>
  <w:style w:type="character" w:customStyle="1" w:styleId="19">
    <w:name w:val="批注框文本 字符"/>
    <w:link w:val="9"/>
    <w:semiHidden/>
    <w:qFormat/>
    <w:uiPriority w:val="99"/>
    <w:rPr>
      <w:kern w:val="2"/>
      <w:sz w:val="18"/>
      <w:szCs w:val="18"/>
    </w:rPr>
  </w:style>
  <w:style w:type="paragraph" w:customStyle="1" w:styleId="20">
    <w:name w:val="列出段落1"/>
    <w:basedOn w:val="1"/>
    <w:qFormat/>
    <w:uiPriority w:val="34"/>
    <w:pPr>
      <w:ind w:firstLine="420" w:firstLineChars="200"/>
    </w:pPr>
    <w:rPr>
      <w:rFonts w:ascii="Calibri" w:hAnsi="Calibri"/>
      <w:szCs w:val="22"/>
    </w:rPr>
  </w:style>
  <w:style w:type="paragraph" w:customStyle="1" w:styleId="21">
    <w:name w:val="B Outline 1 Char"/>
    <w:basedOn w:val="1"/>
    <w:qFormat/>
    <w:uiPriority w:val="0"/>
    <w:pPr>
      <w:tabs>
        <w:tab w:val="left" w:pos="1021"/>
      </w:tabs>
      <w:adjustRightInd w:val="0"/>
      <w:spacing w:line="360" w:lineRule="auto"/>
      <w:ind w:left="1021" w:hanging="539"/>
      <w:textAlignment w:val="baseline"/>
    </w:pPr>
    <w:rPr>
      <w:rFonts w:ascii="宋体" w:hAnsi="宋体" w:eastAsia="华康宋体W5(P)"/>
      <w:b/>
      <w:bCs/>
      <w:sz w:val="24"/>
      <w:szCs w:val="24"/>
    </w:rPr>
  </w:style>
  <w:style w:type="paragraph" w:customStyle="1" w:styleId="22">
    <w:name w:val="封面标准号2"/>
    <w:uiPriority w:val="0"/>
    <w:pPr>
      <w:spacing w:before="357" w:line="280" w:lineRule="exact"/>
      <w:jc w:val="right"/>
    </w:pPr>
    <w:rPr>
      <w:rFonts w:ascii="黑体" w:hAnsi="Times New Roman" w:eastAsia="黑体" w:cs="Times New Roman"/>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hnjl</Company>
  <Pages>20</Pages>
  <Words>1933</Words>
  <Characters>11021</Characters>
  <Lines>91</Lines>
  <Paragraphs>25</Paragraphs>
  <TotalTime>5</TotalTime>
  <ScaleCrop>false</ScaleCrop>
  <LinksUpToDate>false</LinksUpToDate>
  <CharactersWithSpaces>12929</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2020-05-05T08:24:00Z</dcterms:created>
  <dc:creator>shijuwang.jl</dc:creator>
  <cp:lastModifiedBy>bichanghong.JL</cp:lastModifiedBy>
  <cp:lastPrinted>2020-05-21T08:03:00Z</cp:lastPrinted>
  <dcterms:modified xsi:type="dcterms:W3CDTF">2023-03-09T01:32:55Z</dcterms:modified>
  <dc:title>#1锅炉水冷壁超音速电弧喷涂</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